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16" w:rsidRDefault="00A0539B" w:rsidP="005C1216">
      <w:pPr>
        <w:pStyle w:val="Heading1"/>
        <w:rPr>
          <w:b/>
        </w:rPr>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5C1216" w:rsidRPr="00DA46F7">
        <w:t>Healt</w:t>
      </w:r>
      <w:r w:rsidR="005C1216">
        <w:t xml:space="preserve">h Advisory: </w:t>
      </w:r>
      <w:r w:rsidR="005C1216" w:rsidRPr="003048EA">
        <w:t>Test for Varicella (Chickenpox)</w:t>
      </w:r>
    </w:p>
    <w:p w:rsidR="005C1216" w:rsidRPr="00775B0F" w:rsidRDefault="005C1216" w:rsidP="005C1216">
      <w:pPr>
        <w:spacing w:after="240" w:line="294" w:lineRule="atLeast"/>
        <w:rPr>
          <w:rFonts w:cs="Arial"/>
          <w:b/>
          <w:bCs/>
          <w:color w:val="000000"/>
        </w:rPr>
      </w:pPr>
      <w:r w:rsidRPr="00775B0F">
        <w:t xml:space="preserve">Minnesota Department of Health </w:t>
      </w:r>
      <w:r>
        <w:t>Wed</w:t>
      </w:r>
      <w:r w:rsidRPr="00775B0F">
        <w:t xml:space="preserve"> </w:t>
      </w:r>
      <w:r>
        <w:t>Dec 7</w:t>
      </w:r>
      <w:r w:rsidRPr="00775B0F">
        <w:t xml:space="preserve"> </w:t>
      </w:r>
      <w:r>
        <w:t>11:00 CDT 2016</w:t>
      </w:r>
    </w:p>
    <w:p w:rsidR="005C1216" w:rsidRDefault="005C1216" w:rsidP="005C1216">
      <w:pPr>
        <w:spacing w:after="0" w:line="240" w:lineRule="auto"/>
      </w:pPr>
      <w:r w:rsidRPr="00775B0F">
        <w:rPr>
          <w:rFonts w:eastAsia="Times New Roman" w:cs="Times New Roman"/>
          <w:b/>
          <w:bCs/>
        </w:rPr>
        <w:t>Action Steps:</w:t>
      </w:r>
      <w:r w:rsidRPr="007D41B8">
        <w:rPr>
          <w:rFonts w:eastAsia="Times New Roman" w:cs="Times New Roman"/>
        </w:rPr>
        <w:br/>
      </w:r>
      <w:r w:rsidRPr="00775B0F">
        <w:rPr>
          <w:rFonts w:eastAsia="Times New Roman" w:cs="Times New Roman"/>
          <w:b/>
          <w:bCs/>
          <w:i/>
          <w:iCs/>
        </w:rPr>
        <w:t>Local and tribal health department:</w:t>
      </w:r>
      <w:r>
        <w:rPr>
          <w:rFonts w:eastAsia="Times New Roman" w:cs="Times New Roman"/>
          <w:b/>
          <w:bCs/>
          <w:i/>
          <w:iCs/>
        </w:rPr>
        <w:t xml:space="preserve"> </w:t>
      </w:r>
      <w:r w:rsidRPr="007D41B8">
        <w:rPr>
          <w:rFonts w:eastAsia="Times New Roman" w:cs="Times New Roman"/>
        </w:rPr>
        <w:t>Please forward to hospita</w:t>
      </w:r>
      <w:r>
        <w:rPr>
          <w:rFonts w:eastAsia="Times New Roman" w:cs="Times New Roman"/>
        </w:rPr>
        <w:t xml:space="preserve">ls, clinics, urgent care, </w:t>
      </w:r>
      <w:r w:rsidRPr="00775B0F">
        <w:rPr>
          <w:rFonts w:eastAsia="Times New Roman" w:cs="Times New Roman"/>
        </w:rPr>
        <w:t>and convenience clinic</w:t>
      </w:r>
      <w:r w:rsidRPr="007D41B8">
        <w:rPr>
          <w:rFonts w:eastAsia="Times New Roman" w:cs="Times New Roman"/>
        </w:rPr>
        <w:t>s in your jurisdiction.</w:t>
      </w:r>
      <w:r w:rsidRPr="007D41B8">
        <w:rPr>
          <w:rFonts w:eastAsia="Times New Roman" w:cs="Times New Roman"/>
        </w:rPr>
        <w:br/>
      </w:r>
      <w:r>
        <w:rPr>
          <w:b/>
          <w:bCs/>
          <w:i/>
          <w:iCs/>
        </w:rPr>
        <w:t>Hospital and clinics</w:t>
      </w:r>
      <w:r>
        <w:t xml:space="preserve">: Please distribute to health care professionals </w:t>
      </w:r>
    </w:p>
    <w:p w:rsidR="005C1216" w:rsidRDefault="005C1216" w:rsidP="005C1216">
      <w:pPr>
        <w:spacing w:after="0" w:line="240" w:lineRule="auto"/>
      </w:pPr>
      <w:r>
        <w:rPr>
          <w:b/>
          <w:bCs/>
          <w:i/>
          <w:iCs/>
        </w:rPr>
        <w:t>Health care providers</w:t>
      </w:r>
      <w:r>
        <w:t>:</w:t>
      </w:r>
    </w:p>
    <w:p w:rsidR="005C1216" w:rsidRDefault="005C1216" w:rsidP="005C1216">
      <w:pPr>
        <w:pStyle w:val="ListParagraph"/>
        <w:numPr>
          <w:ilvl w:val="0"/>
          <w:numId w:val="29"/>
        </w:numPr>
        <w:contextualSpacing/>
      </w:pPr>
      <w:r>
        <w:t>Test for varicella (chickenpox) via PCR, even when clinical diagnosis seems sufficient</w:t>
      </w:r>
    </w:p>
    <w:p w:rsidR="005C1216" w:rsidRDefault="005C1216" w:rsidP="005C1216">
      <w:pPr>
        <w:pStyle w:val="ListParagraph"/>
        <w:numPr>
          <w:ilvl w:val="0"/>
          <w:numId w:val="29"/>
        </w:numPr>
        <w:contextualSpacing/>
      </w:pPr>
      <w:r>
        <w:t>Submit specimens to MDH for testing per the Minnesota communicable disease reporting rule</w:t>
      </w:r>
    </w:p>
    <w:p w:rsidR="005C1216" w:rsidRPr="00507DCB" w:rsidRDefault="005C1216" w:rsidP="005C1216">
      <w:pPr>
        <w:pStyle w:val="ListParagraph"/>
        <w:numPr>
          <w:ilvl w:val="0"/>
          <w:numId w:val="29"/>
        </w:numPr>
        <w:contextualSpacing/>
      </w:pPr>
      <w:r w:rsidRPr="00507DCB">
        <w:t xml:space="preserve">Report all suspected cases of varicella to MDH </w:t>
      </w:r>
      <w:r w:rsidRPr="00826BB8">
        <w:rPr>
          <w:b/>
        </w:rPr>
        <w:t>and</w:t>
      </w:r>
      <w:r w:rsidRPr="00507DCB">
        <w:t xml:space="preserve"> include </w:t>
      </w:r>
      <w:r>
        <w:t xml:space="preserve">a </w:t>
      </w:r>
      <w:r w:rsidRPr="00507DCB">
        <w:t>rash description</w:t>
      </w:r>
    </w:p>
    <w:p w:rsidR="005C1216" w:rsidRDefault="005C1216" w:rsidP="005C1216">
      <w:pPr>
        <w:pStyle w:val="ListParagraph"/>
        <w:numPr>
          <w:ilvl w:val="0"/>
          <w:numId w:val="29"/>
        </w:numPr>
        <w:contextualSpacing/>
      </w:pPr>
      <w:r>
        <w:t xml:space="preserve">Counsel patients to remain at home until PCR results are back or until rash has resolved </w:t>
      </w:r>
    </w:p>
    <w:p w:rsidR="005C1216" w:rsidRDefault="005C1216" w:rsidP="005C1216">
      <w:pPr>
        <w:spacing w:after="0" w:line="240" w:lineRule="auto"/>
      </w:pPr>
    </w:p>
    <w:p w:rsidR="005C1216" w:rsidRDefault="005C1216" w:rsidP="005C1216">
      <w:pPr>
        <w:spacing w:after="0" w:line="240" w:lineRule="auto"/>
        <w:rPr>
          <w:b/>
          <w:bCs/>
        </w:rPr>
      </w:pPr>
      <w:r>
        <w:rPr>
          <w:b/>
          <w:bCs/>
        </w:rPr>
        <w:t>Background</w:t>
      </w:r>
    </w:p>
    <w:p w:rsidR="005C1216" w:rsidRDefault="005C1216" w:rsidP="005C1216">
      <w:pPr>
        <w:spacing w:after="0" w:line="240" w:lineRule="auto"/>
      </w:pPr>
      <w:r>
        <w:t xml:space="preserve">Clinical diagnosis of varicella is challenging. The classic </w:t>
      </w:r>
      <w:r w:rsidR="002A759E">
        <w:t>varicella rash is not as common</w:t>
      </w:r>
      <w:bookmarkStart w:id="0" w:name="_GoBack"/>
      <w:bookmarkEnd w:id="0"/>
      <w:r>
        <w:t xml:space="preserve"> and breakthrough disease in vaccinated individuals may lack the characteristic vesicular stage. Additionally, changes in the epidemiology of hand, foot, and mouth disease (HFMD) in the U.S. have complicated clinical diagnosis. HFMD outbreaks are common in child care and schools, and novel strains (particularly Coxsackievirus A6) can resemble atypical or breakthrough varicella disease, which has led to inconsistent exclusion recommendations. </w:t>
      </w:r>
    </w:p>
    <w:p w:rsidR="005C1216" w:rsidRDefault="005C1216" w:rsidP="005C1216">
      <w:pPr>
        <w:spacing w:after="0" w:line="240" w:lineRule="auto"/>
        <w:rPr>
          <w:b/>
          <w:bCs/>
        </w:rPr>
      </w:pPr>
    </w:p>
    <w:p w:rsidR="005C1216" w:rsidRDefault="005C1216" w:rsidP="005C1216">
      <w:pPr>
        <w:spacing w:after="0" w:line="240" w:lineRule="auto"/>
        <w:rPr>
          <w:b/>
          <w:bCs/>
        </w:rPr>
      </w:pPr>
      <w:r>
        <w:rPr>
          <w:b/>
          <w:bCs/>
        </w:rPr>
        <w:t>Laboratory Testing</w:t>
      </w:r>
    </w:p>
    <w:p w:rsidR="005C1216" w:rsidRDefault="005C1216" w:rsidP="005C1216">
      <w:pPr>
        <w:spacing w:after="0" w:line="240" w:lineRule="auto"/>
      </w:pPr>
      <w:r>
        <w:t xml:space="preserve">Laboratory testing for varicella is needed to provide accurate guidance and post-exposure prophylaxis (PEP). MDH is now requesting that specimens from lesions be submitted to the MDH public health laboratory for PCR. PCR is the recommended test for varicella; it is rapid, sensitive, and specific. </w:t>
      </w:r>
    </w:p>
    <w:p w:rsidR="005C1216" w:rsidRDefault="005C1216" w:rsidP="005C1216">
      <w:pPr>
        <w:spacing w:after="0" w:line="240" w:lineRule="auto"/>
      </w:pPr>
    </w:p>
    <w:p w:rsidR="005C1216" w:rsidRDefault="005C1216" w:rsidP="005C1216">
      <w:pPr>
        <w:spacing w:after="0" w:line="240" w:lineRule="auto"/>
        <w:rPr>
          <w:i/>
          <w:iCs/>
        </w:rPr>
      </w:pPr>
      <w:r>
        <w:t xml:space="preserve">The communicable disease reporting rule requires submission of clinical materials for suspected or confirmed varicella cases. A laboratory fact sheet with further guidance is posted </w:t>
      </w:r>
      <w:r>
        <w:rPr>
          <w:rFonts w:eastAsia="Times New Roman" w:cs="Arial"/>
        </w:rPr>
        <w:t xml:space="preserve">on </w:t>
      </w:r>
      <w:hyperlink r:id="rId9" w:history="1">
        <w:r w:rsidRPr="00F65080">
          <w:rPr>
            <w:rStyle w:val="Hyperlink"/>
            <w:rFonts w:eastAsia="Times New Roman" w:cs="Arial"/>
          </w:rPr>
          <w:t xml:space="preserve">Varicella Information for Health Professionals </w:t>
        </w:r>
        <w:r w:rsidRPr="00507DCB">
          <w:rPr>
            <w:rStyle w:val="Hyperlink"/>
            <w:rFonts w:eastAsia="Times New Roman" w:cs="Arial"/>
          </w:rPr>
          <w:t>(www.health.state.mn.us/divs/idepc/diseases/varicella/hcp/index.html).</w:t>
        </w:r>
        <w:r w:rsidRPr="00F65080">
          <w:rPr>
            <w:rStyle w:val="Hyperlink"/>
            <w:rFonts w:eastAsia="Times New Roman" w:cs="Arial"/>
          </w:rPr>
          <w:t xml:space="preserve">  </w:t>
        </w:r>
      </w:hyperlink>
    </w:p>
    <w:p w:rsidR="005C1216" w:rsidRDefault="005C1216" w:rsidP="005C1216">
      <w:pPr>
        <w:spacing w:after="0" w:line="240" w:lineRule="auto"/>
      </w:pPr>
    </w:p>
    <w:p w:rsidR="005C1216" w:rsidRPr="00507DCB" w:rsidRDefault="005C1216" w:rsidP="005C1216">
      <w:pPr>
        <w:spacing w:after="0" w:line="240" w:lineRule="auto"/>
        <w:rPr>
          <w:b/>
          <w:bCs/>
        </w:rPr>
      </w:pPr>
      <w:r w:rsidRPr="00507DCB">
        <w:rPr>
          <w:b/>
          <w:bCs/>
        </w:rPr>
        <w:t>Reporting Varicella</w:t>
      </w:r>
    </w:p>
    <w:p w:rsidR="005C1216" w:rsidRPr="002D1D7C" w:rsidRDefault="005C1216" w:rsidP="005C1216">
      <w:pPr>
        <w:spacing w:after="0" w:line="240" w:lineRule="auto"/>
        <w:rPr>
          <w:highlight w:val="yellow"/>
        </w:rPr>
      </w:pPr>
      <w:r w:rsidRPr="00507DCB">
        <w:t xml:space="preserve">Call MDH at 1-877-676-5414 or fill out the </w:t>
      </w:r>
      <w:hyperlink r:id="rId10" w:history="1">
        <w:r w:rsidRPr="00214426">
          <w:rPr>
            <w:rStyle w:val="Hyperlink"/>
          </w:rPr>
          <w:t>Varicella Reporting Form (www.health.state.mn.us/divs/idepc/dtopics/reportable/forms/varicellaform.html)</w:t>
        </w:r>
      </w:hyperlink>
      <w:r w:rsidRPr="00507DCB">
        <w:t>.</w:t>
      </w:r>
    </w:p>
    <w:p w:rsidR="005C1216" w:rsidRDefault="005C1216" w:rsidP="005C1216">
      <w:pPr>
        <w:spacing w:after="0" w:line="240" w:lineRule="auto"/>
        <w:rPr>
          <w:b/>
          <w:bCs/>
        </w:rPr>
      </w:pPr>
    </w:p>
    <w:p w:rsidR="005C1216" w:rsidRDefault="005C1216" w:rsidP="005C1216">
      <w:pPr>
        <w:spacing w:after="0" w:line="240" w:lineRule="auto"/>
        <w:rPr>
          <w:b/>
          <w:bCs/>
        </w:rPr>
      </w:pPr>
      <w:r>
        <w:rPr>
          <w:b/>
          <w:bCs/>
        </w:rPr>
        <w:t>Exclusion and PEP Recommendations</w:t>
      </w:r>
    </w:p>
    <w:p w:rsidR="005C1216" w:rsidRDefault="005C1216" w:rsidP="005C1216">
      <w:pPr>
        <w:spacing w:after="0" w:line="240" w:lineRule="auto"/>
      </w:pPr>
      <w:r>
        <w:t xml:space="preserve">Exclusion and PEP recommendations for varicella and HFMD differ significantly. </w:t>
      </w:r>
      <w:r w:rsidRPr="00446683">
        <w:rPr>
          <w:rFonts w:eastAsia="Times New Roman" w:cs="Arial"/>
        </w:rPr>
        <w:t>Children diagnosed with varicella must sta</w:t>
      </w:r>
      <w:r>
        <w:rPr>
          <w:rFonts w:eastAsia="Times New Roman" w:cs="Arial"/>
        </w:rPr>
        <w:t xml:space="preserve">y home until the rash has </w:t>
      </w:r>
      <w:r w:rsidRPr="00446683">
        <w:rPr>
          <w:rFonts w:eastAsia="Times New Roman" w:cs="Arial"/>
        </w:rPr>
        <w:t>resolved; in some cases a week or more.</w:t>
      </w:r>
      <w:r>
        <w:rPr>
          <w:rFonts w:eastAsia="Times New Roman" w:cs="Arial"/>
        </w:rPr>
        <w:t xml:space="preserve"> Those </w:t>
      </w:r>
      <w:r w:rsidRPr="00446683">
        <w:rPr>
          <w:rFonts w:eastAsia="Times New Roman" w:cs="Arial"/>
        </w:rPr>
        <w:t>with HFMD may return to school and child care once fever has been absent for 24 hours</w:t>
      </w:r>
      <w:r>
        <w:rPr>
          <w:rFonts w:eastAsia="Times New Roman" w:cs="Arial"/>
        </w:rPr>
        <w:t>.</w:t>
      </w:r>
      <w:r w:rsidRPr="00446683">
        <w:rPr>
          <w:rFonts w:eastAsia="Times New Roman" w:cs="Arial"/>
        </w:rPr>
        <w:t xml:space="preserve"> </w:t>
      </w:r>
      <w:r>
        <w:rPr>
          <w:rFonts w:eastAsia="Times New Roman" w:cs="Arial"/>
        </w:rPr>
        <w:t>N</w:t>
      </w:r>
      <w:r w:rsidRPr="00446683">
        <w:rPr>
          <w:rFonts w:eastAsia="Times New Roman" w:cs="Arial"/>
        </w:rPr>
        <w:t>on-immune pregnant women and immunocompromised individuals who are exposed to varicella are candidates for varicella immune globulin.</w:t>
      </w:r>
      <w:r>
        <w:rPr>
          <w:rFonts w:eastAsia="Times New Roman" w:cs="Arial"/>
        </w:rPr>
        <w:t xml:space="preserve"> </w:t>
      </w:r>
      <w:r w:rsidRPr="00446683">
        <w:rPr>
          <w:rFonts w:eastAsia="Times New Roman" w:cs="Arial"/>
        </w:rPr>
        <w:t>PEP of exposed contacts is not recommended for HFMD</w:t>
      </w:r>
      <w:r>
        <w:rPr>
          <w:rFonts w:eastAsia="Times New Roman" w:cs="Arial"/>
        </w:rPr>
        <w:t>.</w:t>
      </w:r>
      <w:r w:rsidRPr="00446683">
        <w:rPr>
          <w:rFonts w:eastAsia="Times New Roman" w:cs="Arial"/>
        </w:rPr>
        <w:t xml:space="preserve"> </w:t>
      </w:r>
    </w:p>
    <w:p w:rsidR="005C1216" w:rsidRDefault="005C1216" w:rsidP="005C1216">
      <w:pPr>
        <w:spacing w:after="0" w:line="240" w:lineRule="auto"/>
      </w:pPr>
    </w:p>
    <w:p w:rsidR="005C1216" w:rsidRDefault="005C1216" w:rsidP="005C1216">
      <w:pPr>
        <w:spacing w:after="0" w:line="240" w:lineRule="auto"/>
        <w:rPr>
          <w:b/>
          <w:bCs/>
        </w:rPr>
      </w:pPr>
      <w:r>
        <w:rPr>
          <w:b/>
          <w:bCs/>
        </w:rPr>
        <w:t>Immunity Documentation</w:t>
      </w:r>
    </w:p>
    <w:p w:rsidR="005C1216" w:rsidRDefault="005C1216" w:rsidP="005C1216">
      <w:pPr>
        <w:spacing w:after="0" w:line="240" w:lineRule="auto"/>
      </w:pPr>
      <w:r>
        <w:t xml:space="preserve">Positive PCR results, including those reported to MDH by reference labs, will be entered into MIIC as documentation of history of disease.  </w:t>
      </w:r>
    </w:p>
    <w:p w:rsidR="005C1216" w:rsidRDefault="005C1216" w:rsidP="005C1216">
      <w:pPr>
        <w:spacing w:after="0" w:line="240" w:lineRule="auto"/>
      </w:pPr>
    </w:p>
    <w:p w:rsidR="005C1216" w:rsidRDefault="005C1216" w:rsidP="005C1216">
      <w:pPr>
        <w:spacing w:after="0" w:line="240" w:lineRule="auto"/>
        <w:rPr>
          <w:b/>
        </w:rPr>
      </w:pPr>
      <w:r>
        <w:rPr>
          <w:b/>
        </w:rPr>
        <w:t xml:space="preserve">Questions: </w:t>
      </w:r>
      <w:r>
        <w:t>Please call the Minnesota Department of Health at 1-877-676-5414.</w:t>
      </w:r>
    </w:p>
    <w:p w:rsidR="005C1216" w:rsidRDefault="005C1216" w:rsidP="005C1216">
      <w:pPr>
        <w:spacing w:after="0" w:line="240" w:lineRule="auto"/>
        <w:rPr>
          <w:rFonts w:eastAsia="Times New Roman" w:cs="Arial"/>
          <w:bCs/>
          <w:color w:val="000000"/>
          <w:sz w:val="20"/>
          <w:szCs w:val="20"/>
        </w:rPr>
      </w:pPr>
    </w:p>
    <w:p w:rsidR="00EE6763" w:rsidRPr="00EE4717" w:rsidRDefault="005C1216" w:rsidP="00EE4717">
      <w:pPr>
        <w:shd w:val="clear" w:color="auto" w:fill="FFFFFF"/>
        <w:spacing w:after="0" w:line="267" w:lineRule="atLeast"/>
        <w:rPr>
          <w:rFonts w:eastAsia="Times New Roman" w:cs="Arial"/>
          <w:bCs/>
          <w:color w:val="000000"/>
          <w:sz w:val="20"/>
          <w:szCs w:val="20"/>
        </w:rPr>
      </w:pPr>
      <w:r w:rsidRPr="00641421">
        <w:rPr>
          <w:rFonts w:eastAsia="Times New Roman" w:cs="Arial"/>
          <w:bCs/>
          <w:color w:val="000000"/>
          <w:sz w:val="20"/>
          <w:szCs w:val="20"/>
        </w:rP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EE6763" w:rsidRPr="00EE4717" w:rsidSect="00EE4717">
      <w:headerReference w:type="defaul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77D7C"/>
    <w:multiLevelType w:val="hybridMultilevel"/>
    <w:tmpl w:val="30102AC8"/>
    <w:lvl w:ilvl="0" w:tplc="6756CF6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F0C6C"/>
    <w:multiLevelType w:val="hybridMultilevel"/>
    <w:tmpl w:val="876C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E2E63"/>
    <w:multiLevelType w:val="multilevel"/>
    <w:tmpl w:val="951E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A7332F"/>
    <w:multiLevelType w:val="multilevel"/>
    <w:tmpl w:val="94F4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84608"/>
    <w:multiLevelType w:val="multilevel"/>
    <w:tmpl w:val="E95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0"/>
  </w:num>
  <w:num w:numId="5">
    <w:abstractNumId w:val="14"/>
  </w:num>
  <w:num w:numId="6">
    <w:abstractNumId w:val="15"/>
  </w:num>
  <w:num w:numId="7">
    <w:abstractNumId w:val="26"/>
  </w:num>
  <w:num w:numId="8">
    <w:abstractNumId w:val="6"/>
  </w:num>
  <w:num w:numId="9">
    <w:abstractNumId w:val="3"/>
  </w:num>
  <w:num w:numId="10">
    <w:abstractNumId w:val="20"/>
  </w:num>
  <w:num w:numId="11">
    <w:abstractNumId w:val="23"/>
  </w:num>
  <w:num w:numId="12">
    <w:abstractNumId w:val="13"/>
  </w:num>
  <w:num w:numId="13">
    <w:abstractNumId w:val="12"/>
  </w:num>
  <w:num w:numId="14">
    <w:abstractNumId w:val="22"/>
  </w:num>
  <w:num w:numId="15">
    <w:abstractNumId w:val="21"/>
  </w:num>
  <w:num w:numId="16">
    <w:abstractNumId w:val="27"/>
  </w:num>
  <w:num w:numId="17">
    <w:abstractNumId w:val="7"/>
  </w:num>
  <w:num w:numId="18">
    <w:abstractNumId w:val="19"/>
  </w:num>
  <w:num w:numId="19">
    <w:abstractNumId w:val="9"/>
  </w:num>
  <w:num w:numId="20">
    <w:abstractNumId w:val="1"/>
  </w:num>
  <w:num w:numId="21">
    <w:abstractNumId w:val="12"/>
  </w:num>
  <w:num w:numId="22">
    <w:abstractNumId w:val="8"/>
  </w:num>
  <w:num w:numId="23">
    <w:abstractNumId w:val="10"/>
  </w:num>
  <w:num w:numId="24">
    <w:abstractNumId w:val="4"/>
  </w:num>
  <w:num w:numId="25">
    <w:abstractNumId w:val="16"/>
  </w:num>
  <w:num w:numId="26">
    <w:abstractNumId w:val="25"/>
  </w:num>
  <w:num w:numId="27">
    <w:abstractNumId w:val="18"/>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B19B5"/>
    <w:rsid w:val="000D3CCD"/>
    <w:rsid w:val="000E253B"/>
    <w:rsid w:val="001220BD"/>
    <w:rsid w:val="00142BE8"/>
    <w:rsid w:val="00174D71"/>
    <w:rsid w:val="001A2FD7"/>
    <w:rsid w:val="001A4175"/>
    <w:rsid w:val="001C5A4F"/>
    <w:rsid w:val="001D079C"/>
    <w:rsid w:val="00233EFC"/>
    <w:rsid w:val="0026066D"/>
    <w:rsid w:val="00265ECE"/>
    <w:rsid w:val="00294137"/>
    <w:rsid w:val="002A091A"/>
    <w:rsid w:val="002A2A8E"/>
    <w:rsid w:val="002A559C"/>
    <w:rsid w:val="002A759E"/>
    <w:rsid w:val="002B6B45"/>
    <w:rsid w:val="002C0389"/>
    <w:rsid w:val="002D5161"/>
    <w:rsid w:val="002F524A"/>
    <w:rsid w:val="00315CE5"/>
    <w:rsid w:val="0032500E"/>
    <w:rsid w:val="00343D1C"/>
    <w:rsid w:val="00344D7A"/>
    <w:rsid w:val="003646EC"/>
    <w:rsid w:val="00373477"/>
    <w:rsid w:val="003755DA"/>
    <w:rsid w:val="00382420"/>
    <w:rsid w:val="00392877"/>
    <w:rsid w:val="00393350"/>
    <w:rsid w:val="00395BC3"/>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C1216"/>
    <w:rsid w:val="005F0A3F"/>
    <w:rsid w:val="00603CB0"/>
    <w:rsid w:val="00615760"/>
    <w:rsid w:val="0062347B"/>
    <w:rsid w:val="00637CED"/>
    <w:rsid w:val="006556AD"/>
    <w:rsid w:val="00656A5D"/>
    <w:rsid w:val="006706A6"/>
    <w:rsid w:val="0068600F"/>
    <w:rsid w:val="006C6E47"/>
    <w:rsid w:val="006D7D86"/>
    <w:rsid w:val="006F63E0"/>
    <w:rsid w:val="00710767"/>
    <w:rsid w:val="00717A43"/>
    <w:rsid w:val="00746B8D"/>
    <w:rsid w:val="00770094"/>
    <w:rsid w:val="00775B0F"/>
    <w:rsid w:val="00776617"/>
    <w:rsid w:val="0078378C"/>
    <w:rsid w:val="007976E6"/>
    <w:rsid w:val="007A0BD9"/>
    <w:rsid w:val="007B5F91"/>
    <w:rsid w:val="007D191C"/>
    <w:rsid w:val="007D41B8"/>
    <w:rsid w:val="00820F43"/>
    <w:rsid w:val="00824B51"/>
    <w:rsid w:val="00843621"/>
    <w:rsid w:val="00867D30"/>
    <w:rsid w:val="00871E34"/>
    <w:rsid w:val="00876DD7"/>
    <w:rsid w:val="00877991"/>
    <w:rsid w:val="00882456"/>
    <w:rsid w:val="0088707D"/>
    <w:rsid w:val="00887FEF"/>
    <w:rsid w:val="008E1DDD"/>
    <w:rsid w:val="008E3A09"/>
    <w:rsid w:val="008F2F74"/>
    <w:rsid w:val="00920DAA"/>
    <w:rsid w:val="009537DD"/>
    <w:rsid w:val="00960F11"/>
    <w:rsid w:val="00962F05"/>
    <w:rsid w:val="009740F9"/>
    <w:rsid w:val="00992094"/>
    <w:rsid w:val="00996B8E"/>
    <w:rsid w:val="009A2A40"/>
    <w:rsid w:val="009A38F2"/>
    <w:rsid w:val="009C1193"/>
    <w:rsid w:val="009C14F4"/>
    <w:rsid w:val="00A0539B"/>
    <w:rsid w:val="00A35305"/>
    <w:rsid w:val="00A910CE"/>
    <w:rsid w:val="00AB0B99"/>
    <w:rsid w:val="00AB0D2E"/>
    <w:rsid w:val="00AC5873"/>
    <w:rsid w:val="00AF238B"/>
    <w:rsid w:val="00B00702"/>
    <w:rsid w:val="00B21452"/>
    <w:rsid w:val="00B43866"/>
    <w:rsid w:val="00B72108"/>
    <w:rsid w:val="00B92329"/>
    <w:rsid w:val="00BB289D"/>
    <w:rsid w:val="00BD1F81"/>
    <w:rsid w:val="00BD67DB"/>
    <w:rsid w:val="00BF333F"/>
    <w:rsid w:val="00C22FF8"/>
    <w:rsid w:val="00C439D0"/>
    <w:rsid w:val="00C7768A"/>
    <w:rsid w:val="00C810C6"/>
    <w:rsid w:val="00C9749E"/>
    <w:rsid w:val="00CB35F0"/>
    <w:rsid w:val="00CC0E3A"/>
    <w:rsid w:val="00CF0C93"/>
    <w:rsid w:val="00CF61C3"/>
    <w:rsid w:val="00D26952"/>
    <w:rsid w:val="00D32BDE"/>
    <w:rsid w:val="00D4193B"/>
    <w:rsid w:val="00D85F9B"/>
    <w:rsid w:val="00DA46F7"/>
    <w:rsid w:val="00DB446C"/>
    <w:rsid w:val="00DC011E"/>
    <w:rsid w:val="00DC4B2D"/>
    <w:rsid w:val="00E53182"/>
    <w:rsid w:val="00E74A1A"/>
    <w:rsid w:val="00E930FA"/>
    <w:rsid w:val="00E940B8"/>
    <w:rsid w:val="00EB1966"/>
    <w:rsid w:val="00EB5915"/>
    <w:rsid w:val="00EE4717"/>
    <w:rsid w:val="00EE6763"/>
    <w:rsid w:val="00F23D0D"/>
    <w:rsid w:val="00F31287"/>
    <w:rsid w:val="00F45B7B"/>
    <w:rsid w:val="00F556B2"/>
    <w:rsid w:val="00F64A49"/>
    <w:rsid w:val="00F64ABF"/>
    <w:rsid w:val="00FA2A4A"/>
    <w:rsid w:val="00FD3B44"/>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051542124">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46080211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 w:id="21036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divs/idepc/dtopics/reportable/forms/varicellaform.html" TargetMode="External"/><Relationship Id="rId4" Type="http://schemas.openxmlformats.org/officeDocument/2006/relationships/settings" Target="settings.xml"/><Relationship Id="rId9" Type="http://schemas.openxmlformats.org/officeDocument/2006/relationships/hyperlink" Target="http://www.health.state.mn.us/divs/idepc/diseases/varicella/hc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9BD4C-AF7D-44A3-ADE5-8CAB9252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462</Words>
  <Characters>2819</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Health Advisory: Test for Varicella (Chickenpox)</vt:lpstr>
    </vt:vector>
  </TitlesOfParts>
  <Company>Minnesota Department of Health</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Test for Varicella (Chickenpox)</dc:title>
  <dc:creator>Minnesota Department of Health</dc:creator>
  <cp:lastModifiedBy>Toby McAdams</cp:lastModifiedBy>
  <cp:revision>5</cp:revision>
  <dcterms:created xsi:type="dcterms:W3CDTF">2016-12-07T16:13:00Z</dcterms:created>
  <dcterms:modified xsi:type="dcterms:W3CDTF">2016-12-07T16:21:00Z</dcterms:modified>
</cp:coreProperties>
</file>