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1F5BA55A" w:rsidR="00B94C9F" w:rsidRDefault="00056313" w:rsidP="00B94C9F">
      <w:pPr>
        <w:pStyle w:val="Heading1"/>
      </w:pPr>
      <w:bookmarkStart w:id="0" w:name="_Hlk67491853"/>
      <w:r>
        <w:t xml:space="preserve">CDC </w:t>
      </w:r>
      <w:r w:rsidR="00BE1E4C" w:rsidRPr="00BE1E4C">
        <w:t xml:space="preserve">Health Advisory: </w:t>
      </w:r>
      <w:r w:rsidR="003D0F38" w:rsidRPr="003D0F38">
        <w:t>Melioidosis</w:t>
      </w:r>
      <w:r w:rsidRPr="00056313">
        <w:t xml:space="preserve"> Source Implicated</w:t>
      </w:r>
    </w:p>
    <w:bookmarkEnd w:id="0"/>
    <w:p w14:paraId="305E66C1" w14:textId="2E042099" w:rsidR="00056313" w:rsidRDefault="00056313" w:rsidP="00056313">
      <w:pPr>
        <w:pStyle w:val="NormalWeb"/>
        <w:rPr>
          <w:sz w:val="22"/>
          <w:szCs w:val="22"/>
        </w:rPr>
      </w:pPr>
      <w:r>
        <w:t xml:space="preserve">Minnesota Department of Health, </w:t>
      </w:r>
      <w:r w:rsidR="0047418C">
        <w:t>Mon</w:t>
      </w:r>
      <w:r>
        <w:t>, Oct 2</w:t>
      </w:r>
      <w:r w:rsidR="0047418C">
        <w:t>5</w:t>
      </w:r>
      <w:r>
        <w:t xml:space="preserve"> </w:t>
      </w:r>
      <w:r w:rsidR="00234480">
        <w:t>11</w:t>
      </w:r>
      <w:r>
        <w:t>:00 CDT 2021</w:t>
      </w:r>
    </w:p>
    <w:p w14:paraId="3098D082" w14:textId="77777777" w:rsidR="00056313" w:rsidRDefault="00056313" w:rsidP="00056313">
      <w:pPr>
        <w:pStyle w:val="Heading2"/>
        <w:rPr>
          <w:rFonts w:eastAsia="Times New Roman"/>
        </w:rPr>
      </w:pPr>
      <w:r>
        <w:rPr>
          <w:rFonts w:eastAsia="Times New Roman"/>
        </w:rPr>
        <w:t>Action Steps</w:t>
      </w:r>
    </w:p>
    <w:p w14:paraId="7183CF42" w14:textId="77777777" w:rsidR="00056313" w:rsidRDefault="00056313" w:rsidP="00056313">
      <w:pPr>
        <w:pStyle w:val="NormalWeb"/>
      </w:pPr>
      <w:r>
        <w:rPr>
          <w:b/>
          <w:bCs/>
          <w:i/>
          <w:iCs/>
        </w:rPr>
        <w:t>Local and tribal health department</w:t>
      </w:r>
      <w:r>
        <w:t xml:space="preserve">: Please forward to hospitals, clinics, urgent care centers, emergency departments, pharmacies, and convenience clinics in your jurisdiction. </w:t>
      </w:r>
      <w:r>
        <w:br/>
      </w:r>
      <w:r>
        <w:rPr>
          <w:b/>
          <w:bCs/>
          <w:i/>
          <w:iCs/>
        </w:rPr>
        <w:t xml:space="preserve">Hospitals, </w:t>
      </w:r>
      <w:proofErr w:type="gramStart"/>
      <w:r>
        <w:rPr>
          <w:b/>
          <w:bCs/>
          <w:i/>
          <w:iCs/>
        </w:rPr>
        <w:t>clinics</w:t>
      </w:r>
      <w:proofErr w:type="gramEnd"/>
      <w:r>
        <w:rPr>
          <w:b/>
          <w:bCs/>
          <w:i/>
          <w:iCs/>
        </w:rPr>
        <w:t xml:space="preserve"> and other facilities</w:t>
      </w:r>
      <w:r>
        <w:t>: Please forward to infection preventionists, infectious disease physicians, emergency department staff, hospitalists, and primary care clinicians.</w:t>
      </w:r>
      <w:r>
        <w:br/>
      </w:r>
      <w:r>
        <w:rPr>
          <w:b/>
          <w:bCs/>
          <w:i/>
          <w:iCs/>
        </w:rPr>
        <w:t>Health care providers</w:t>
      </w:r>
      <w:r>
        <w:t xml:space="preserve">: </w:t>
      </w:r>
    </w:p>
    <w:p w14:paraId="68B3147B" w14:textId="77777777" w:rsidR="00056313" w:rsidRDefault="00056313" w:rsidP="00056313">
      <w:pPr>
        <w:numPr>
          <w:ilvl w:val="0"/>
          <w:numId w:val="7"/>
        </w:numPr>
        <w:spacing w:before="100" w:beforeAutospacing="1" w:after="100" w:afterAutospacing="1"/>
        <w:rPr>
          <w:rFonts w:eastAsia="Times New Roman"/>
        </w:rPr>
      </w:pPr>
      <w:r>
        <w:rPr>
          <w:rFonts w:eastAsia="Times New Roman"/>
        </w:rPr>
        <w:t>Maintain high clinical suspicion for melioidosis diagnosis in patients with a compatible illness with exposure history in the past 21 days to Better Homes &amp; Gardens Aromatherapy Room Spray “Lavender &amp; Chamomile” with Gemstones or similar products. </w:t>
      </w:r>
    </w:p>
    <w:p w14:paraId="3925961D" w14:textId="77777777" w:rsidR="00056313" w:rsidRDefault="00056313" w:rsidP="00056313">
      <w:pPr>
        <w:numPr>
          <w:ilvl w:val="0"/>
          <w:numId w:val="7"/>
        </w:numPr>
        <w:spacing w:before="100" w:beforeAutospacing="1" w:after="100" w:afterAutospacing="1"/>
        <w:rPr>
          <w:rFonts w:eastAsia="Times New Roman"/>
        </w:rPr>
      </w:pPr>
      <w:r>
        <w:rPr>
          <w:rFonts w:eastAsia="Times New Roman"/>
        </w:rPr>
        <w:t xml:space="preserve">Culture of </w:t>
      </w:r>
      <w:r>
        <w:rPr>
          <w:rFonts w:eastAsia="Times New Roman"/>
          <w:i/>
          <w:iCs/>
        </w:rPr>
        <w:t xml:space="preserve">B. </w:t>
      </w:r>
      <w:proofErr w:type="spellStart"/>
      <w:r>
        <w:rPr>
          <w:rFonts w:eastAsia="Times New Roman"/>
          <w:i/>
          <w:iCs/>
        </w:rPr>
        <w:t>pseudomallei</w:t>
      </w:r>
      <w:proofErr w:type="spellEnd"/>
      <w:r>
        <w:rPr>
          <w:rFonts w:eastAsia="Times New Roman"/>
        </w:rPr>
        <w:t xml:space="preserve"> from any clinical specimen is considered diagnostic for melioidosis. </w:t>
      </w:r>
    </w:p>
    <w:p w14:paraId="71FCB1CC" w14:textId="77777777" w:rsidR="00056313" w:rsidRDefault="00056313" w:rsidP="00056313">
      <w:pPr>
        <w:numPr>
          <w:ilvl w:val="0"/>
          <w:numId w:val="7"/>
        </w:numPr>
        <w:spacing w:before="100" w:beforeAutospacing="1" w:after="100" w:afterAutospacing="1"/>
        <w:rPr>
          <w:rFonts w:eastAsia="Times New Roman"/>
        </w:rPr>
      </w:pPr>
      <w:r>
        <w:rPr>
          <w:rFonts w:eastAsia="Times New Roman"/>
        </w:rPr>
        <w:t>Treat melioidosis with IV antibiotics (e.g., ceftazidime or meropenem) for at least two weeks.</w:t>
      </w:r>
    </w:p>
    <w:p w14:paraId="4E7F52FC" w14:textId="0BCC909B" w:rsidR="000E5E53" w:rsidRPr="000E5E53" w:rsidRDefault="000E5E53" w:rsidP="00056313">
      <w:pPr>
        <w:numPr>
          <w:ilvl w:val="0"/>
          <w:numId w:val="7"/>
        </w:numPr>
        <w:spacing w:before="100" w:beforeAutospacing="1" w:after="100" w:afterAutospacing="1"/>
        <w:rPr>
          <w:rFonts w:eastAsia="Times New Roman"/>
        </w:rPr>
      </w:pPr>
      <w:r w:rsidRPr="000E5E53">
        <w:rPr>
          <w:rFonts w:eastAsia="Times New Roman"/>
        </w:rPr>
        <w:t xml:space="preserve">Refer isolate to MDH-PHL for confirmation if laboratory suspects or cannot rule out </w:t>
      </w:r>
      <w:r w:rsidRPr="000E5E53">
        <w:rPr>
          <w:rFonts w:eastAsia="Times New Roman"/>
          <w:i/>
          <w:iCs/>
        </w:rPr>
        <w:t xml:space="preserve">B. </w:t>
      </w:r>
      <w:proofErr w:type="spellStart"/>
      <w:r w:rsidRPr="000E5E53">
        <w:rPr>
          <w:rFonts w:eastAsia="Times New Roman"/>
          <w:i/>
          <w:iCs/>
        </w:rPr>
        <w:t>pseudomallei</w:t>
      </w:r>
      <w:proofErr w:type="spellEnd"/>
      <w:r w:rsidRPr="000E5E53">
        <w:rPr>
          <w:rFonts w:eastAsia="Times New Roman"/>
        </w:rPr>
        <w:t xml:space="preserve"> per established bioterrorism organism rule-out procedures</w:t>
      </w:r>
    </w:p>
    <w:p w14:paraId="063DC218" w14:textId="549394CF" w:rsidR="00056313" w:rsidRDefault="00372091" w:rsidP="00056313">
      <w:pPr>
        <w:numPr>
          <w:ilvl w:val="0"/>
          <w:numId w:val="7"/>
        </w:numPr>
        <w:spacing w:before="100" w:beforeAutospacing="1" w:after="100" w:afterAutospacing="1"/>
        <w:rPr>
          <w:rFonts w:eastAsia="Times New Roman"/>
        </w:rPr>
      </w:pPr>
      <w:hyperlink r:id="rId13" w:history="1">
        <w:r w:rsidR="000E5E53" w:rsidRPr="00A46A86">
          <w:rPr>
            <w:rStyle w:val="Hyperlink"/>
            <w:rFonts w:eastAsia="Times New Roman"/>
          </w:rPr>
          <w:t>Report Melioidosis (https://www.health.state.mn.us/diseases/melioidosis/report.html)</w:t>
        </w:r>
      </w:hyperlink>
      <w:r w:rsidR="00056313">
        <w:rPr>
          <w:rFonts w:eastAsia="Times New Roman"/>
        </w:rPr>
        <w:t> to MDH by phone to 651-201-5414 or 877-676-5414.</w:t>
      </w:r>
    </w:p>
    <w:p w14:paraId="0A4BC440" w14:textId="241F6DC5" w:rsidR="00056313" w:rsidRDefault="00056313" w:rsidP="00056313">
      <w:pPr>
        <w:pStyle w:val="Heading2"/>
        <w:rPr>
          <w:rFonts w:eastAsia="Times New Roman"/>
        </w:rPr>
      </w:pPr>
      <w:r>
        <w:rPr>
          <w:rFonts w:eastAsia="Times New Roman"/>
        </w:rPr>
        <w:t xml:space="preserve">CDC HAN: </w:t>
      </w:r>
      <w:hyperlink r:id="rId14" w:history="1">
        <w:r w:rsidRPr="0047418C">
          <w:rPr>
            <w:rStyle w:val="Hyperlink"/>
            <w:rFonts w:eastAsia="Times New Roman"/>
            <w:b w:val="0"/>
            <w:bCs/>
          </w:rPr>
          <w:t xml:space="preserve">Source Implicated in Fatal Case in Georgia: Multistate Outbreak of Non-travel Associated </w:t>
        </w:r>
        <w:proofErr w:type="spellStart"/>
        <w:r w:rsidRPr="0047418C">
          <w:rPr>
            <w:rStyle w:val="Hyperlink"/>
            <w:rFonts w:eastAsia="Times New Roman"/>
            <w:b w:val="0"/>
            <w:bCs/>
            <w:i/>
            <w:iCs/>
          </w:rPr>
          <w:t>Burkholderia</w:t>
        </w:r>
        <w:proofErr w:type="spellEnd"/>
        <w:r w:rsidRPr="0047418C">
          <w:rPr>
            <w:rStyle w:val="Hyperlink"/>
            <w:rFonts w:eastAsia="Times New Roman"/>
            <w:b w:val="0"/>
            <w:bCs/>
            <w:i/>
            <w:iCs/>
          </w:rPr>
          <w:t xml:space="preserve"> </w:t>
        </w:r>
        <w:proofErr w:type="spellStart"/>
        <w:r w:rsidRPr="0047418C">
          <w:rPr>
            <w:rStyle w:val="Hyperlink"/>
            <w:rFonts w:eastAsia="Times New Roman"/>
            <w:b w:val="0"/>
            <w:bCs/>
            <w:i/>
            <w:iCs/>
          </w:rPr>
          <w:t>pseudomallei</w:t>
        </w:r>
        <w:proofErr w:type="spellEnd"/>
        <w:r w:rsidRPr="0047418C">
          <w:rPr>
            <w:rStyle w:val="Hyperlink"/>
            <w:rFonts w:eastAsia="Times New Roman"/>
            <w:b w:val="0"/>
            <w:bCs/>
          </w:rPr>
          <w:t xml:space="preserve"> Infections (Melioidosis) in Four Patients: Georgia, Kansas, Minnesota, and Texas –2021</w:t>
        </w:r>
      </w:hyperlink>
    </w:p>
    <w:p w14:paraId="17B48133" w14:textId="77777777" w:rsidR="00056313" w:rsidRDefault="00056313" w:rsidP="00056313">
      <w:pPr>
        <w:pStyle w:val="Heading2"/>
        <w:rPr>
          <w:rFonts w:eastAsia="Times New Roman"/>
        </w:rPr>
      </w:pPr>
      <w:r>
        <w:rPr>
          <w:rFonts w:eastAsia="Times New Roman"/>
        </w:rPr>
        <w:t>Summary</w:t>
      </w:r>
    </w:p>
    <w:p w14:paraId="5E75A27A" w14:textId="77777777" w:rsidR="009B7E13" w:rsidRDefault="00056313" w:rsidP="00056313">
      <w:pPr>
        <w:pStyle w:val="NormalWeb"/>
      </w:pPr>
      <w:r>
        <w:t xml:space="preserve">MDH assisted CDC and other state health departments </w:t>
      </w:r>
      <w:r w:rsidR="000E5E53">
        <w:t xml:space="preserve">to </w:t>
      </w:r>
      <w:r>
        <w:t>investigate a cluster of non-travel related melioidosis cases.</w:t>
      </w:r>
    </w:p>
    <w:p w14:paraId="02CD52FA" w14:textId="36C27E57" w:rsidR="00056313" w:rsidRDefault="00056313" w:rsidP="00056313">
      <w:pPr>
        <w:pStyle w:val="NormalWeb"/>
      </w:pPr>
      <w:r>
        <w:t>Testing at the Centers for Disease Control and Prevention (CDC) has identified the bacterial DNA of</w:t>
      </w:r>
      <w:r>
        <w:rPr>
          <w:i/>
          <w:iCs/>
        </w:rPr>
        <w:t xml:space="preserve"> </w:t>
      </w:r>
      <w:proofErr w:type="spellStart"/>
      <w:r>
        <w:rPr>
          <w:i/>
          <w:iCs/>
        </w:rPr>
        <w:t>Burkholderia</w:t>
      </w:r>
      <w:proofErr w:type="spellEnd"/>
      <w:r>
        <w:rPr>
          <w:i/>
          <w:iCs/>
        </w:rPr>
        <w:t xml:space="preserve"> </w:t>
      </w:r>
      <w:proofErr w:type="spellStart"/>
      <w:r>
        <w:rPr>
          <w:i/>
          <w:iCs/>
        </w:rPr>
        <w:t>pseudomallei</w:t>
      </w:r>
      <w:proofErr w:type="spellEnd"/>
      <w:r>
        <w:t xml:space="preserve"> in an aromatherapy room spray in the home of the Georgia resident who was infected with and died from </w:t>
      </w:r>
      <w:proofErr w:type="spellStart"/>
      <w:r>
        <w:rPr>
          <w:i/>
          <w:iCs/>
        </w:rPr>
        <w:t>Burkholderia</w:t>
      </w:r>
      <w:proofErr w:type="spellEnd"/>
      <w:r>
        <w:rPr>
          <w:i/>
          <w:iCs/>
        </w:rPr>
        <w:t xml:space="preserve"> </w:t>
      </w:r>
      <w:proofErr w:type="spellStart"/>
      <w:r>
        <w:rPr>
          <w:i/>
          <w:iCs/>
        </w:rPr>
        <w:t>pseudomallei</w:t>
      </w:r>
      <w:proofErr w:type="spellEnd"/>
      <w:r>
        <w:t xml:space="preserve"> infection (melioidosis) in July 2021. This Georgia patient was the fourth melioidosis case in a cluster since March 2021 that involved three other patients in Kansas, Minnesota and Texas, as described previously in </w:t>
      </w:r>
      <w:hyperlink r:id="rId15" w:history="1">
        <w:r>
          <w:rPr>
            <w:rStyle w:val="Hyperlink"/>
          </w:rPr>
          <w:t xml:space="preserve">HAN Health Update 448: New Case Identified: Multistate Investigation of Non-travel Associated Burkholderia pseudomallei Infections (Melioidosis) in Four Patients: Georgia, </w:t>
        </w:r>
        <w:r>
          <w:rPr>
            <w:rStyle w:val="Hyperlink"/>
          </w:rPr>
          <w:lastRenderedPageBreak/>
          <w:t>Kansas, Minnesota, and Texas—2021 (https://emergency.cdc.gov/han/2021/han00448.asp)</w:t>
        </w:r>
      </w:hyperlink>
      <w:r>
        <w:t xml:space="preserve"> that CDC issued on August 9, 2021.</w:t>
      </w:r>
    </w:p>
    <w:p w14:paraId="19F5054F" w14:textId="208F60B9" w:rsidR="00056313" w:rsidRDefault="009B7E13" w:rsidP="00056313">
      <w:pPr>
        <w:pStyle w:val="NormalWeb"/>
      </w:pPr>
      <w:r w:rsidRPr="009B7E13">
        <w:t xml:space="preserve">Based on genomic analysis, the four cases in Georgia, Kansas, Minnesota, and Texas in 2021 closely match, indicating they all most likely share a common source of exposure. Genomic analysis of the four patient isolates grouped closely with strains from South Asia. None of these cases had a history of traveling outside of the continental United States. The four cases include both children and adults; two are female, and two are male. The first case, which was fatal, was identified in March 2021 in Kansas. The second and third cases, identified in May 2021 in Minnesota and Texas, were hospitalized for extended periods before being discharged to transitional care facilities. The most recent case this July, in Georgia, involved a patient who died in the hospital. Post-mortem testing in late July 2021 identified melioidosis as a cause of death. Symptoms of melioidosis are varied and nonspecific, and may include pneumonia, abscess formation, blood infections, and neurological involvement. Due to its nonspecific symptoms, melioidosis can initially be mistaken for other diseases such as tuberculosis, which can delay proper treatment. </w:t>
      </w:r>
      <w:proofErr w:type="spellStart"/>
      <w:r w:rsidRPr="009B7E13">
        <w:rPr>
          <w:i/>
          <w:iCs/>
        </w:rPr>
        <w:t>Burkholderia</w:t>
      </w:r>
      <w:proofErr w:type="spellEnd"/>
      <w:r w:rsidRPr="009B7E13">
        <w:rPr>
          <w:i/>
          <w:iCs/>
        </w:rPr>
        <w:t xml:space="preserve"> </w:t>
      </w:r>
      <w:proofErr w:type="spellStart"/>
      <w:r w:rsidRPr="009B7E13">
        <w:rPr>
          <w:i/>
          <w:iCs/>
        </w:rPr>
        <w:t>pseudomallei</w:t>
      </w:r>
      <w:proofErr w:type="spellEnd"/>
      <w:r w:rsidRPr="009B7E13">
        <w:t xml:space="preserve"> may also be misidentified by some automated identification methods in laboratory settings.</w:t>
      </w:r>
      <w:r w:rsidR="00056313">
        <w:t> </w:t>
      </w:r>
    </w:p>
    <w:p w14:paraId="67D95BED" w14:textId="5C02EA7E" w:rsidR="00056313" w:rsidRDefault="00995FB8" w:rsidP="00056313">
      <w:r w:rsidRPr="00995FB8">
        <w:t xml:space="preserve">The contaminated product identified by positive polymerase chain reaction (PCR) assay is the </w:t>
      </w:r>
      <w:r w:rsidRPr="00995FB8">
        <w:rPr>
          <w:i/>
          <w:iCs/>
        </w:rPr>
        <w:t>Better Homes and Gardens-branded Essential Oil Infused Aromatherapy Room Spray with Gemstones “Lavender &amp; Chamomile”</w:t>
      </w:r>
      <w:r w:rsidRPr="00995FB8">
        <w:t xml:space="preserve"> scent, manufactured in India. The spray was sold at Walmart between February and </w:t>
      </w:r>
      <w:proofErr w:type="gramStart"/>
      <w:r w:rsidRPr="00995FB8">
        <w:t>October 21, 2021, and</w:t>
      </w:r>
      <w:proofErr w:type="gramEnd"/>
      <w:r w:rsidRPr="00995FB8">
        <w:t xml:space="preserve"> was distributed in a limited number of stores and online nationwide. Whole genome sequencing results from the positive product sample are pending. This product was removed from stores and online marketplaces on October 21, 2021, and out of abundance of caution, the five other scents under the same brand were removed from Walmart marketplaces as well (Lemon &amp; Mandarin, Lavender, Peppermint, Lime &amp; Eucalyptus, and Sandalwood &amp; Vanilla). Testing will be conducted on these additional scents as well. Recalls are being initiated by the Consumer Product Safety Commission and Walmart. CDC is working with the Kansas Department of Health and Environment, the Texas Department of State Health Services, the Minnesota Department of Health, the Georgia Department of Public Health, and federal partners to learn whether the other patients used the implicated product and if other products need to be further investigated. This investigation and response are ongoing, and CDC will share more information as it becomes available.</w:t>
      </w:r>
      <w:r w:rsidR="00056313">
        <w:t xml:space="preserve"> </w:t>
      </w:r>
    </w:p>
    <w:p w14:paraId="18A874BB" w14:textId="77777777" w:rsidR="00056313" w:rsidRDefault="00056313" w:rsidP="00056313">
      <w:pPr>
        <w:pStyle w:val="Heading2"/>
        <w:rPr>
          <w:rFonts w:eastAsia="Times New Roman"/>
        </w:rPr>
      </w:pPr>
      <w:r>
        <w:rPr>
          <w:rFonts w:eastAsia="Times New Roman"/>
        </w:rPr>
        <w:t>Background</w:t>
      </w:r>
    </w:p>
    <w:p w14:paraId="1192F76A" w14:textId="3EF01AA8" w:rsidR="00056313" w:rsidRDefault="00056313" w:rsidP="00056313">
      <w:pPr>
        <w:pStyle w:val="NormalWeb"/>
      </w:pPr>
      <w:r>
        <w:t xml:space="preserve">Initial presentation for these four cases ranged from cough and shortness of breath to weakness, fatigue, nausea, vomiting, intermittent fever, and rash on the trunk, abdomen, and face. Two of the cases, one of them fatal, had several risk factors for melioidosis, including chronic obstructive pulmonary disease (COPD) and cirrhosis. The remaining cases had no known risk factors for melioidosis, though one case had a co-infection with SARS-CoV-2. Both pediatric cases had severe neurologic involvement. </w:t>
      </w:r>
    </w:p>
    <w:p w14:paraId="4E2A49F1" w14:textId="0B6FBD47" w:rsidR="00056313" w:rsidRDefault="00056313" w:rsidP="00056313">
      <w:pPr>
        <w:pStyle w:val="NormalWeb"/>
      </w:pPr>
      <w:proofErr w:type="spellStart"/>
      <w:r>
        <w:rPr>
          <w:i/>
          <w:iCs/>
        </w:rPr>
        <w:t>Burkholderia</w:t>
      </w:r>
      <w:proofErr w:type="spellEnd"/>
      <w:r>
        <w:rPr>
          <w:i/>
          <w:iCs/>
        </w:rPr>
        <w:t xml:space="preserve"> </w:t>
      </w:r>
      <w:proofErr w:type="spellStart"/>
      <w:r>
        <w:rPr>
          <w:i/>
          <w:iCs/>
        </w:rPr>
        <w:t>pseudomallei</w:t>
      </w:r>
      <w:proofErr w:type="spellEnd"/>
      <w:r>
        <w:t xml:space="preserve">, the causative agent of melioidosis, is a </w:t>
      </w:r>
      <w:hyperlink r:id="rId16" w:history="1">
        <w:r>
          <w:rPr>
            <w:rStyle w:val="Hyperlink"/>
          </w:rPr>
          <w:t>Tier 1 select agent (https://www.selectagents.gov/compliance/guidance/security-plan/section11f.htm)</w:t>
        </w:r>
      </w:hyperlink>
      <w:r>
        <w:t xml:space="preserve"> that can infect animals and humans. Cases are most common in areas of the world with tropical and sub-tropical </w:t>
      </w:r>
      <w:r>
        <w:lastRenderedPageBreak/>
        <w:t xml:space="preserve">climates. The approximately </w:t>
      </w:r>
      <w:r w:rsidR="00433151">
        <w:t xml:space="preserve">one </w:t>
      </w:r>
      <w:r>
        <w:t xml:space="preserve">dozen cases reported to CDC annually predominantly occur in </w:t>
      </w:r>
      <w:r w:rsidR="00433151">
        <w:t>people</w:t>
      </w:r>
      <w:r>
        <w:t xml:space="preserve"> returning from a country where the disease is endemic.</w:t>
      </w:r>
    </w:p>
    <w:p w14:paraId="47637160" w14:textId="765D7393" w:rsidR="00056313" w:rsidRPr="00AC63D2" w:rsidRDefault="00AC63D2" w:rsidP="00056313">
      <w:pPr>
        <w:pStyle w:val="NormalWeb"/>
        <w:rPr>
          <w:sz w:val="22"/>
          <w:szCs w:val="22"/>
        </w:rPr>
      </w:pPr>
      <w:r>
        <w:t xml:space="preserve">Melioidosis symptoms are nonspecific and vary depending on the type of infection. Melioidosis can present in a wide array of clinical syndromes with varying severity, including skin abscesses without fever, pneumonia, sepsis with multiple organ abscesses, sepsis without evident focus, genitourinary infection, and encephalomyelitis. Mortality varies depending on disease severity and clinical presentation, with case fatality ranging between 10 and 50% worldwide. </w:t>
      </w:r>
      <w:r w:rsidR="000155C6">
        <w:t xml:space="preserve">(Epidemiology of Melioidosis: </w:t>
      </w:r>
      <w:hyperlink r:id="rId17" w:history="1">
        <w:r w:rsidR="000155C6">
          <w:rPr>
            <w:rStyle w:val="Hyperlink"/>
          </w:rPr>
          <w:t>Cheng, A. C. &amp; Currie, B. J. Melioidosis: epidemiology, pathophysiology, and management. Clin. Microbiol. Rev. 18, 383–416 (2005)</w:t>
        </w:r>
      </w:hyperlink>
      <w:r w:rsidR="000155C6">
        <w:t>)</w:t>
      </w:r>
      <w:r>
        <w:t xml:space="preserve"> </w:t>
      </w:r>
      <w:r w:rsidR="00433151" w:rsidRPr="00433151">
        <w:t xml:space="preserve">People with certain conditions are at higher risk of disease when they </w:t>
      </w:r>
      <w:proofErr w:type="gramStart"/>
      <w:r w:rsidR="00433151" w:rsidRPr="00433151">
        <w:t>come in contact with</w:t>
      </w:r>
      <w:proofErr w:type="gramEnd"/>
      <w:r w:rsidR="00433151" w:rsidRPr="00433151">
        <w:t xml:space="preserve"> the bacteria. The most common factors that make a person more likely to develop disease include diabetes, chronic kidney disease, chronic lung disease, chronic liver disease, excessive alcohol use, and cancer or immune-suppressing conditions other than HIV. Melioidosis is confirmed by culture. Testing must be conducted by trained personnel because some automated identification methods in clinical laboratories may misidentify </w:t>
      </w:r>
      <w:r w:rsidR="00433151" w:rsidRPr="00433151">
        <w:rPr>
          <w:i/>
          <w:iCs/>
        </w:rPr>
        <w:t xml:space="preserve">B. </w:t>
      </w:r>
      <w:proofErr w:type="spellStart"/>
      <w:r w:rsidR="00433151" w:rsidRPr="00433151">
        <w:rPr>
          <w:i/>
          <w:iCs/>
        </w:rPr>
        <w:t>pseudomallei</w:t>
      </w:r>
      <w:proofErr w:type="spellEnd"/>
      <w:r w:rsidR="00433151" w:rsidRPr="00433151">
        <w:t xml:space="preserve"> as a different bacterium. For example, the isolate from the Texas case in this cluster was initially misidentified as </w:t>
      </w:r>
      <w:r w:rsidR="00433151" w:rsidRPr="00433151">
        <w:rPr>
          <w:i/>
          <w:iCs/>
        </w:rPr>
        <w:t xml:space="preserve">B. </w:t>
      </w:r>
      <w:proofErr w:type="spellStart"/>
      <w:r w:rsidR="00433151" w:rsidRPr="00433151">
        <w:rPr>
          <w:i/>
          <w:iCs/>
        </w:rPr>
        <w:t>thailandensis</w:t>
      </w:r>
      <w:proofErr w:type="spellEnd"/>
      <w:r w:rsidR="00433151" w:rsidRPr="00433151">
        <w:t xml:space="preserve"> by MALDI-TOF.</w:t>
      </w:r>
    </w:p>
    <w:p w14:paraId="4D014D03" w14:textId="4CDFA139" w:rsidR="00056313" w:rsidRPr="00AC63D2" w:rsidRDefault="00AC63D2" w:rsidP="00056313">
      <w:pPr>
        <w:rPr>
          <w:rFonts w:eastAsia="Times New Roman"/>
          <w:sz w:val="22"/>
          <w:szCs w:val="22"/>
        </w:rPr>
      </w:pPr>
      <w:r>
        <w:rPr>
          <w:rFonts w:eastAsia="Times New Roman"/>
        </w:rPr>
        <w:t>Melioidosis is not considered to be transmitted person</w:t>
      </w:r>
      <w:r w:rsidR="000155C6">
        <w:rPr>
          <w:rFonts w:eastAsia="Times New Roman"/>
        </w:rPr>
        <w:t>-</w:t>
      </w:r>
      <w:r>
        <w:rPr>
          <w:rFonts w:eastAsia="Times New Roman"/>
        </w:rPr>
        <w:t>to</w:t>
      </w:r>
      <w:r w:rsidR="000155C6">
        <w:rPr>
          <w:rFonts w:eastAsia="Times New Roman"/>
        </w:rPr>
        <w:t>-</w:t>
      </w:r>
      <w:r>
        <w:rPr>
          <w:rFonts w:eastAsia="Times New Roman"/>
        </w:rPr>
        <w:t xml:space="preserve">person via air or respiratory droplets in non-laboratory settings. There have only been a few documented cases of person-to-person transmission. In disease-endemic areas, percutaneous inoculation is a common route for natural infection. However, in the context of this cluster, the route of transmission is most likely intranasal or inhalation of the contaminated room spray. Healthcare personnel are generally not at risk if they follow standard precautions when working with infected patients. (Precautions for Healthcare Providers: </w:t>
      </w:r>
      <w:hyperlink r:id="rId18" w:history="1">
        <w:r>
          <w:rPr>
            <w:rStyle w:val="Hyperlink"/>
            <w:rFonts w:eastAsia="Times New Roman"/>
          </w:rPr>
          <w:t>Healthcare Response Activities | Melioidosis | CDC</w:t>
        </w:r>
      </w:hyperlink>
      <w:r>
        <w:rPr>
          <w:rFonts w:eastAsia="Times New Roman"/>
        </w:rPr>
        <w:t xml:space="preserve">) However, laboratory personnel are at increased risk because some lab procedures may aerosolize particles that could inadvertently release </w:t>
      </w:r>
      <w:r>
        <w:rPr>
          <w:rFonts w:eastAsia="Times New Roman"/>
          <w:i/>
          <w:iCs/>
        </w:rPr>
        <w:t xml:space="preserve">B. </w:t>
      </w:r>
      <w:proofErr w:type="spellStart"/>
      <w:r>
        <w:rPr>
          <w:rFonts w:eastAsia="Times New Roman"/>
          <w:i/>
          <w:iCs/>
        </w:rPr>
        <w:t>pseudomallei</w:t>
      </w:r>
      <w:proofErr w:type="spellEnd"/>
      <w:r>
        <w:rPr>
          <w:rFonts w:eastAsia="Times New Roman"/>
          <w:i/>
          <w:iCs/>
        </w:rPr>
        <w:t xml:space="preserve"> </w:t>
      </w:r>
      <w:r>
        <w:rPr>
          <w:rFonts w:eastAsia="Times New Roman"/>
        </w:rPr>
        <w:t xml:space="preserve">into the air. </w:t>
      </w:r>
      <w:r w:rsidR="000155C6" w:rsidRPr="000155C6">
        <w:rPr>
          <w:rFonts w:eastAsia="Times New Roman"/>
        </w:rPr>
        <w:t>Laboratory personnel can reduce their risk of exposure by following safe laboratory practices and using BSL3 practices and procedures when handling suspect cultures</w:t>
      </w:r>
      <w:r w:rsidR="000155C6">
        <w:rPr>
          <w:rFonts w:eastAsia="Times New Roman"/>
        </w:rPr>
        <w:t>.</w:t>
      </w:r>
      <w:r>
        <w:rPr>
          <w:rFonts w:eastAsia="Times New Roman"/>
        </w:rPr>
        <w:t xml:space="preserve"> </w:t>
      </w:r>
      <w:r w:rsidR="00083ED4">
        <w:rPr>
          <w:rFonts w:eastAsia="Times New Roman"/>
        </w:rPr>
        <w:t>(</w:t>
      </w:r>
      <w:hyperlink r:id="rId19" w:history="1">
        <w:r>
          <w:rPr>
            <w:rStyle w:val="Hyperlink"/>
            <w:rFonts w:eastAsia="Times New Roman"/>
          </w:rPr>
          <w:t>Biosafety in Microbiological and Biomedical Laboratories—6th Edition (cdc.gov)</w:t>
        </w:r>
      </w:hyperlink>
      <w:r>
        <w:rPr>
          <w:rFonts w:eastAsia="Times New Roman"/>
        </w:rPr>
        <w:t xml:space="preserve">) Laboratory staff who may have been exposed to </w:t>
      </w:r>
      <w:r>
        <w:rPr>
          <w:rFonts w:eastAsia="Times New Roman"/>
          <w:i/>
          <w:iCs/>
        </w:rPr>
        <w:t xml:space="preserve">B. </w:t>
      </w:r>
      <w:proofErr w:type="spellStart"/>
      <w:r>
        <w:rPr>
          <w:rFonts w:eastAsia="Times New Roman"/>
          <w:i/>
          <w:iCs/>
        </w:rPr>
        <w:t>pseudomallei</w:t>
      </w:r>
      <w:proofErr w:type="spellEnd"/>
      <w:r>
        <w:rPr>
          <w:rFonts w:eastAsia="Times New Roman"/>
          <w:i/>
          <w:iCs/>
        </w:rPr>
        <w:t xml:space="preserve"> </w:t>
      </w:r>
      <w:r>
        <w:rPr>
          <w:rFonts w:eastAsia="Times New Roman"/>
        </w:rPr>
        <w:t xml:space="preserve">should refer to existing CDC guidance. (Management of laboratory exposures: </w:t>
      </w:r>
      <w:hyperlink r:id="rId20" w:history="1">
        <w:r>
          <w:rPr>
            <w:rStyle w:val="Hyperlink"/>
            <w:rFonts w:eastAsia="Times New Roman"/>
          </w:rPr>
          <w:t xml:space="preserve">Management of Accidental Laboratory Exposure to </w:t>
        </w:r>
        <w:proofErr w:type="spellStart"/>
        <w:r>
          <w:rPr>
            <w:rStyle w:val="Hyperlink"/>
            <w:rFonts w:eastAsia="Times New Roman"/>
          </w:rPr>
          <w:t>Burkholderia</w:t>
        </w:r>
        <w:proofErr w:type="spellEnd"/>
        <w:r>
          <w:rPr>
            <w:rStyle w:val="Hyperlink"/>
            <w:rFonts w:eastAsia="Times New Roman"/>
          </w:rPr>
          <w:t xml:space="preserve"> </w:t>
        </w:r>
        <w:proofErr w:type="spellStart"/>
        <w:r>
          <w:rPr>
            <w:rStyle w:val="Hyperlink"/>
            <w:rFonts w:eastAsia="Times New Roman"/>
          </w:rPr>
          <w:t>pseudomallei</w:t>
        </w:r>
        <w:proofErr w:type="spellEnd"/>
        <w:r>
          <w:rPr>
            <w:rStyle w:val="Hyperlink"/>
            <w:rFonts w:eastAsia="Times New Roman"/>
          </w:rPr>
          <w:t xml:space="preserve"> and B. mallei – Volume 14, Number 7—July 2008 – Emerging Infectious Diseases journal – CDC)</w:t>
        </w:r>
      </w:hyperlink>
      <w:r>
        <w:rPr>
          <w:rFonts w:eastAsia="Times New Roman"/>
        </w:rPr>
        <w:t xml:space="preserve"> </w:t>
      </w:r>
      <w:r w:rsidR="00056313">
        <w:t xml:space="preserve"> </w:t>
      </w:r>
    </w:p>
    <w:p w14:paraId="45F43D76" w14:textId="77777777" w:rsidR="00056313" w:rsidRDefault="00056313" w:rsidP="00056313">
      <w:pPr>
        <w:pStyle w:val="Heading2"/>
        <w:rPr>
          <w:rFonts w:eastAsia="Times New Roman"/>
        </w:rPr>
      </w:pPr>
      <w:r>
        <w:rPr>
          <w:rFonts w:eastAsia="Times New Roman"/>
        </w:rPr>
        <w:t xml:space="preserve">Recommendations for Consumers </w:t>
      </w:r>
    </w:p>
    <w:p w14:paraId="45E6BBBF" w14:textId="2926E4D6" w:rsidR="00056313" w:rsidRDefault="00083ED4" w:rsidP="00056313">
      <w:pPr>
        <w:pStyle w:val="NormalWeb"/>
      </w:pPr>
      <w:r w:rsidRPr="00083ED4">
        <w:t xml:space="preserve">People who have the Better Homes &amp; Gardens Aromatherapy Room Spray “Lavender &amp; Chamomile” with </w:t>
      </w:r>
      <w:proofErr w:type="gramStart"/>
      <w:r w:rsidRPr="00083ED4">
        <w:t>Gemstones</w:t>
      </w:r>
      <w:proofErr w:type="gramEnd"/>
      <w:r w:rsidRPr="00083ED4">
        <w:t xml:space="preserve"> product, or any of the other recalled scents with Gemstones (including Lemon &amp; Mandarin, Lavender, Peppermint, Lime &amp; Eucalyptus, and Sandalwood &amp; Vanilla) in their homes should take the following precautions:</w:t>
      </w:r>
      <w:r w:rsidR="00056313">
        <w:t xml:space="preserve"> </w:t>
      </w:r>
    </w:p>
    <w:p w14:paraId="4A7102DE" w14:textId="77777777" w:rsidR="00083ED4" w:rsidRPr="00083ED4" w:rsidRDefault="00083ED4" w:rsidP="00083ED4">
      <w:pPr>
        <w:numPr>
          <w:ilvl w:val="0"/>
          <w:numId w:val="8"/>
        </w:numPr>
        <w:spacing w:before="100" w:beforeAutospacing="1" w:after="100" w:afterAutospacing="1"/>
        <w:rPr>
          <w:rFonts w:eastAsia="Times New Roman"/>
        </w:rPr>
      </w:pPr>
      <w:r w:rsidRPr="00083ED4">
        <w:rPr>
          <w:rFonts w:eastAsia="Times New Roman"/>
        </w:rPr>
        <w:t>Stop using this product immediately. Do not open the bottle. Do not throw away or dispose of the bottle in the regular trash.</w:t>
      </w:r>
    </w:p>
    <w:p w14:paraId="6C87D87C" w14:textId="77777777" w:rsidR="00083ED4" w:rsidRPr="00083ED4" w:rsidRDefault="00083ED4" w:rsidP="00083ED4">
      <w:pPr>
        <w:numPr>
          <w:ilvl w:val="0"/>
          <w:numId w:val="8"/>
        </w:numPr>
        <w:spacing w:before="100" w:beforeAutospacing="1" w:after="100" w:afterAutospacing="1"/>
        <w:rPr>
          <w:rFonts w:eastAsia="Times New Roman"/>
        </w:rPr>
      </w:pPr>
      <w:r w:rsidRPr="00083ED4">
        <w:rPr>
          <w:rFonts w:eastAsia="Times New Roman"/>
        </w:rPr>
        <w:t>Double bag the bottle in clean, clear zip-top bags and place in a cardboard box. Return the bagged and boxed product to a Walmart store.</w:t>
      </w:r>
    </w:p>
    <w:p w14:paraId="32890515" w14:textId="77777777" w:rsidR="00083ED4" w:rsidRPr="00083ED4" w:rsidRDefault="00083ED4" w:rsidP="00083ED4">
      <w:pPr>
        <w:numPr>
          <w:ilvl w:val="0"/>
          <w:numId w:val="8"/>
        </w:numPr>
        <w:spacing w:before="100" w:beforeAutospacing="1" w:after="100" w:afterAutospacing="1"/>
        <w:rPr>
          <w:rFonts w:eastAsia="Times New Roman"/>
        </w:rPr>
      </w:pPr>
      <w:r w:rsidRPr="00083ED4">
        <w:rPr>
          <w:rFonts w:eastAsia="Times New Roman"/>
        </w:rPr>
        <w:lastRenderedPageBreak/>
        <w:t>Wash sheets or linens that the product may have been sprayed on using normal laundry detergent and dry completely in a hot dryer; bleach can be used if desired.</w:t>
      </w:r>
    </w:p>
    <w:p w14:paraId="4D94D02B" w14:textId="77777777" w:rsidR="00083ED4" w:rsidRPr="00083ED4" w:rsidRDefault="00083ED4" w:rsidP="00083ED4">
      <w:pPr>
        <w:numPr>
          <w:ilvl w:val="0"/>
          <w:numId w:val="8"/>
        </w:numPr>
        <w:spacing w:before="100" w:beforeAutospacing="1" w:after="100" w:afterAutospacing="1"/>
        <w:rPr>
          <w:rFonts w:eastAsia="Times New Roman"/>
        </w:rPr>
      </w:pPr>
      <w:r w:rsidRPr="00083ED4">
        <w:rPr>
          <w:rFonts w:eastAsia="Times New Roman"/>
        </w:rPr>
        <w:t xml:space="preserve">Wipe down counters and surfaces that might have the spray on them with undiluted </w:t>
      </w:r>
      <w:proofErr w:type="spellStart"/>
      <w:r w:rsidRPr="00083ED4">
        <w:rPr>
          <w:rFonts w:eastAsia="Times New Roman"/>
        </w:rPr>
        <w:t>PineSol</w:t>
      </w:r>
      <w:proofErr w:type="spellEnd"/>
      <w:r w:rsidRPr="00083ED4">
        <w:rPr>
          <w:rFonts w:eastAsia="Times New Roman"/>
        </w:rPr>
        <w:t xml:space="preserve"> or similar disinfectant.</w:t>
      </w:r>
    </w:p>
    <w:p w14:paraId="6102DDC8" w14:textId="77777777" w:rsidR="00083ED4" w:rsidRPr="00083ED4" w:rsidRDefault="00083ED4" w:rsidP="00083ED4">
      <w:pPr>
        <w:numPr>
          <w:ilvl w:val="0"/>
          <w:numId w:val="8"/>
        </w:numPr>
        <w:spacing w:before="100" w:beforeAutospacing="1" w:after="100" w:afterAutospacing="1"/>
        <w:rPr>
          <w:rFonts w:eastAsia="Times New Roman"/>
        </w:rPr>
      </w:pPr>
      <w:r w:rsidRPr="00083ED4">
        <w:rPr>
          <w:rFonts w:eastAsia="Times New Roman"/>
        </w:rPr>
        <w:t>Limit direct handling of the spray bottle and wash hands thoroughly after touching the bottle or linens. If gloves were used, wash hands afterward.</w:t>
      </w:r>
    </w:p>
    <w:p w14:paraId="6BA3079E" w14:textId="54C01BEB" w:rsidR="00056313" w:rsidRDefault="00083ED4" w:rsidP="00083ED4">
      <w:pPr>
        <w:numPr>
          <w:ilvl w:val="0"/>
          <w:numId w:val="8"/>
        </w:numPr>
        <w:spacing w:before="100" w:beforeAutospacing="1" w:after="100" w:afterAutospacing="1"/>
        <w:rPr>
          <w:rFonts w:eastAsia="Times New Roman"/>
        </w:rPr>
      </w:pPr>
      <w:r w:rsidRPr="00083ED4">
        <w:rPr>
          <w:rFonts w:eastAsia="Times New Roman"/>
        </w:rPr>
        <w:t>If you used the product within the past 21 days and develop a fever or</w:t>
      </w:r>
      <w:r w:rsidR="00056313">
        <w:rPr>
          <w:rFonts w:eastAsia="Times New Roman"/>
        </w:rPr>
        <w:t xml:space="preserve"> </w:t>
      </w:r>
      <w:hyperlink r:id="rId21" w:history="1">
        <w:r w:rsidR="00056313">
          <w:rPr>
            <w:rStyle w:val="Hyperlink"/>
            <w:rFonts w:eastAsia="Times New Roman"/>
          </w:rPr>
          <w:t>other melioidosis signs and symptoms (https://www.cdc.gov/melioidosis/symptoms/index.html)</w:t>
        </w:r>
      </w:hyperlink>
      <w:r w:rsidR="00056313">
        <w:rPr>
          <w:rFonts w:eastAsia="Times New Roman"/>
        </w:rPr>
        <w:t xml:space="preserve">, </w:t>
      </w:r>
      <w:r w:rsidRPr="00083ED4">
        <w:rPr>
          <w:rFonts w:eastAsia="Times New Roman"/>
        </w:rPr>
        <w:t>you should seek medical care and inform your doctor about your exposure to the spray. If you do not have symptoms but were exposed to the product in the last 7 days, your doctor may recommend that you get antibiotics (post-exposure prophylaxis) to prevent infection.</w:t>
      </w:r>
    </w:p>
    <w:p w14:paraId="68681FF2" w14:textId="77777777" w:rsidR="00056313" w:rsidRDefault="00056313" w:rsidP="00056313">
      <w:pPr>
        <w:pStyle w:val="Heading2"/>
        <w:rPr>
          <w:rFonts w:eastAsia="Times New Roman"/>
        </w:rPr>
      </w:pPr>
      <w:r>
        <w:rPr>
          <w:rFonts w:eastAsia="Times New Roman"/>
        </w:rPr>
        <w:t>Recommendations for Healthcare Providers</w:t>
      </w:r>
    </w:p>
    <w:p w14:paraId="13346D06" w14:textId="77777777" w:rsidR="00083ED4" w:rsidRPr="00083ED4" w:rsidRDefault="00083ED4" w:rsidP="00083ED4">
      <w:pPr>
        <w:numPr>
          <w:ilvl w:val="0"/>
          <w:numId w:val="9"/>
        </w:numPr>
        <w:spacing w:before="100" w:beforeAutospacing="1" w:after="100" w:afterAutospacing="1"/>
        <w:rPr>
          <w:rFonts w:eastAsia="Times New Roman"/>
        </w:rPr>
      </w:pPr>
      <w:r w:rsidRPr="00083ED4">
        <w:rPr>
          <w:rFonts w:eastAsia="Times New Roman"/>
        </w:rPr>
        <w:t>Maintain high clinical suspicion for melioidosis diagnosis in patients with a</w:t>
      </w:r>
      <w:r w:rsidR="00056313">
        <w:rPr>
          <w:rFonts w:eastAsia="Times New Roman"/>
        </w:rPr>
        <w:t xml:space="preserve"> </w:t>
      </w:r>
      <w:hyperlink r:id="rId22" w:history="1">
        <w:r w:rsidR="00056313">
          <w:rPr>
            <w:rStyle w:val="Hyperlink"/>
            <w:rFonts w:eastAsia="Times New Roman"/>
          </w:rPr>
          <w:t>compatible signs and symptoms (https://www.cdc.gov/melioidosis/symptoms/index.html)</w:t>
        </w:r>
      </w:hyperlink>
      <w:r w:rsidR="00056313">
        <w:rPr>
          <w:rFonts w:eastAsia="Times New Roman"/>
        </w:rPr>
        <w:t xml:space="preserve"> </w:t>
      </w:r>
      <w:r w:rsidRPr="00083ED4">
        <w:rPr>
          <w:rFonts w:eastAsia="Times New Roman"/>
        </w:rPr>
        <w:t>with melioidosis with an exposure history in the past 21 days to Better Homes &amp; Gardens Aromatherapy Room Spray “Lavender &amp; Chamomile” with Gemstones or similar products.</w:t>
      </w:r>
    </w:p>
    <w:p w14:paraId="5D474B88" w14:textId="77777777" w:rsidR="00083ED4" w:rsidRPr="00083ED4" w:rsidRDefault="00083ED4" w:rsidP="00083ED4">
      <w:pPr>
        <w:numPr>
          <w:ilvl w:val="0"/>
          <w:numId w:val="9"/>
        </w:numPr>
        <w:spacing w:before="100" w:beforeAutospacing="1" w:after="100" w:afterAutospacing="1"/>
        <w:rPr>
          <w:rFonts w:eastAsia="Times New Roman"/>
        </w:rPr>
      </w:pPr>
      <w:r w:rsidRPr="00083ED4">
        <w:rPr>
          <w:rFonts w:eastAsia="Times New Roman"/>
        </w:rPr>
        <w:t xml:space="preserve">Culture of </w:t>
      </w:r>
      <w:r w:rsidRPr="00083ED4">
        <w:rPr>
          <w:rFonts w:eastAsia="Times New Roman"/>
          <w:i/>
          <w:iCs/>
        </w:rPr>
        <w:t xml:space="preserve">B. </w:t>
      </w:r>
      <w:proofErr w:type="spellStart"/>
      <w:r w:rsidRPr="00083ED4">
        <w:rPr>
          <w:rFonts w:eastAsia="Times New Roman"/>
          <w:i/>
          <w:iCs/>
        </w:rPr>
        <w:t>pseudomallei</w:t>
      </w:r>
      <w:proofErr w:type="spellEnd"/>
      <w:r w:rsidRPr="00083ED4">
        <w:rPr>
          <w:rFonts w:eastAsia="Times New Roman"/>
        </w:rPr>
        <w:t xml:space="preserve"> from any clinical specimen is considered diagnostic for melioidosis. Recommended specimens for culture are guided by the clinical syndrome and include blood, sputum, urine, pus from skin and internal abscesses, joint aspirate, and cerebrospinal fluid. Throat swabs and rectal swabs inoculated into selective media increase diagnostic yield.</w:t>
      </w:r>
    </w:p>
    <w:p w14:paraId="13298945" w14:textId="77777777" w:rsidR="00083ED4" w:rsidRPr="00083ED4" w:rsidRDefault="00083ED4" w:rsidP="00083ED4">
      <w:pPr>
        <w:numPr>
          <w:ilvl w:val="0"/>
          <w:numId w:val="9"/>
        </w:numPr>
        <w:spacing w:before="100" w:beforeAutospacing="1" w:after="100" w:afterAutospacing="1"/>
        <w:rPr>
          <w:rFonts w:eastAsia="Times New Roman"/>
        </w:rPr>
      </w:pPr>
      <w:r w:rsidRPr="00083ED4">
        <w:rPr>
          <w:rFonts w:eastAsia="Times New Roman"/>
        </w:rPr>
        <w:t xml:space="preserve">When ordering specimen cultures to diagnose melioidosis, advise the laboratory that cultures may grow </w:t>
      </w:r>
      <w:r w:rsidRPr="00083ED4">
        <w:rPr>
          <w:rFonts w:eastAsia="Times New Roman"/>
          <w:i/>
          <w:iCs/>
        </w:rPr>
        <w:t xml:space="preserve">B. </w:t>
      </w:r>
      <w:proofErr w:type="spellStart"/>
      <w:r w:rsidRPr="00083ED4">
        <w:rPr>
          <w:rFonts w:eastAsia="Times New Roman"/>
          <w:i/>
          <w:iCs/>
        </w:rPr>
        <w:t>pseudomallei</w:t>
      </w:r>
      <w:proofErr w:type="spellEnd"/>
      <w:r w:rsidRPr="00083ED4">
        <w:rPr>
          <w:rFonts w:eastAsia="Times New Roman"/>
        </w:rPr>
        <w:t>, and that appropriate laboratory safety precautions should be followed by the laboratory personnel.</w:t>
      </w:r>
    </w:p>
    <w:p w14:paraId="3E439D9C" w14:textId="3B83EA98" w:rsidR="00B876AC" w:rsidRDefault="00083ED4" w:rsidP="00083ED4">
      <w:pPr>
        <w:numPr>
          <w:ilvl w:val="0"/>
          <w:numId w:val="9"/>
        </w:numPr>
        <w:spacing w:before="100" w:beforeAutospacing="1" w:after="100" w:afterAutospacing="1"/>
        <w:rPr>
          <w:rFonts w:eastAsia="Times New Roman"/>
        </w:rPr>
      </w:pPr>
      <w:r w:rsidRPr="00083ED4">
        <w:rPr>
          <w:rFonts w:eastAsia="Times New Roman"/>
        </w:rPr>
        <w:t>Consultation with infectious disease specialists is strongly recommended. Treat melioidosis with IV antibiotics (e.g., ceftazidime or meropenem) for at least two weeks. Depending on the response to therapy, IV treatment may be extended for up to eight weeks. Intravenous treatment is followed by oral trimethoprim-sulfamethoxazole (TMP/SMX) for three to six months to prevent relapse. Amoxicillin/clavulanic acid can be used in persons with a contraindication to, or who cannot tolerate TMP/SMX.</w:t>
      </w:r>
      <w:r w:rsidR="00B876AC" w:rsidRPr="00B876AC">
        <w:t xml:space="preserve"> </w:t>
      </w:r>
      <w:r w:rsidR="00B876AC" w:rsidRPr="00B876AC">
        <w:rPr>
          <w:rFonts w:eastAsia="Times New Roman"/>
        </w:rPr>
        <w:t xml:space="preserve">Treatment of Melioidosis: </w:t>
      </w:r>
    </w:p>
    <w:p w14:paraId="4E6DEAD8" w14:textId="1CC7F8FF" w:rsidR="00B876AC" w:rsidRPr="00B876AC" w:rsidRDefault="00372091" w:rsidP="00B876AC">
      <w:pPr>
        <w:numPr>
          <w:ilvl w:val="1"/>
          <w:numId w:val="9"/>
        </w:numPr>
        <w:spacing w:before="100" w:beforeAutospacing="1" w:after="100" w:afterAutospacing="1"/>
        <w:rPr>
          <w:rFonts w:eastAsia="Times New Roman"/>
        </w:rPr>
      </w:pPr>
      <w:hyperlink r:id="rId23" w:history="1">
        <w:r w:rsidR="00B876AC" w:rsidRPr="00B876AC">
          <w:rPr>
            <w:rStyle w:val="Hyperlink"/>
            <w:rFonts w:eastAsia="Times New Roman"/>
          </w:rPr>
          <w:t>Sullivan RP, Marshall CS, Anstey NM, et al. 2020 Review and revision of the 2015 Darwin melioidosis treatment guideline; paradigm drift, not shift. PLOS Neglected Tropical Diseases</w:t>
        </w:r>
      </w:hyperlink>
    </w:p>
    <w:p w14:paraId="69D73C7A" w14:textId="5ED76F71" w:rsidR="00B876AC" w:rsidRPr="00B876AC" w:rsidRDefault="00372091" w:rsidP="00B876AC">
      <w:pPr>
        <w:numPr>
          <w:ilvl w:val="1"/>
          <w:numId w:val="9"/>
        </w:numPr>
        <w:spacing w:before="100" w:beforeAutospacing="1" w:after="100" w:afterAutospacing="1"/>
        <w:rPr>
          <w:rFonts w:eastAsia="Times New Roman"/>
        </w:rPr>
      </w:pPr>
      <w:hyperlink r:id="rId24" w:history="1">
        <w:r w:rsidR="00B876AC" w:rsidRPr="00B876AC">
          <w:rPr>
            <w:rStyle w:val="Hyperlink"/>
            <w:rFonts w:eastAsia="Times New Roman"/>
          </w:rPr>
          <w:t xml:space="preserve">Workshop on Treatment of and Postexposure Prophylaxis for </w:t>
        </w:r>
        <w:proofErr w:type="spellStart"/>
        <w:r w:rsidR="00B876AC" w:rsidRPr="00B876AC">
          <w:rPr>
            <w:rStyle w:val="Hyperlink"/>
            <w:rFonts w:eastAsia="Times New Roman"/>
          </w:rPr>
          <w:t>Burkholderia</w:t>
        </w:r>
        <w:proofErr w:type="spellEnd"/>
        <w:r w:rsidR="00B876AC" w:rsidRPr="00B876AC">
          <w:rPr>
            <w:rStyle w:val="Hyperlink"/>
            <w:rFonts w:eastAsia="Times New Roman"/>
          </w:rPr>
          <w:t xml:space="preserve"> </w:t>
        </w:r>
        <w:proofErr w:type="spellStart"/>
        <w:r w:rsidR="00B876AC" w:rsidRPr="00B876AC">
          <w:rPr>
            <w:rStyle w:val="Hyperlink"/>
            <w:rFonts w:eastAsia="Times New Roman"/>
          </w:rPr>
          <w:t>pseudomallei</w:t>
        </w:r>
        <w:proofErr w:type="spellEnd"/>
        <w:r w:rsidR="00B876AC" w:rsidRPr="00B876AC">
          <w:rPr>
            <w:rStyle w:val="Hyperlink"/>
            <w:rFonts w:eastAsia="Times New Roman"/>
          </w:rPr>
          <w:t xml:space="preserve"> and B. mallei Infection, 2010 – Volume 18, Number 12—December 2012 – Emerging Infectious Diseases journal – CDC</w:t>
        </w:r>
      </w:hyperlink>
    </w:p>
    <w:p w14:paraId="1E5A122D" w14:textId="30A7260F" w:rsidR="00056313" w:rsidRPr="00B876AC" w:rsidRDefault="00372091" w:rsidP="00B876AC">
      <w:pPr>
        <w:numPr>
          <w:ilvl w:val="1"/>
          <w:numId w:val="9"/>
        </w:numPr>
        <w:spacing w:before="100" w:beforeAutospacing="1" w:after="100" w:afterAutospacing="1"/>
        <w:rPr>
          <w:rFonts w:eastAsia="Times New Roman"/>
        </w:rPr>
      </w:pPr>
      <w:hyperlink r:id="rId25" w:history="1">
        <w:r w:rsidR="00B876AC" w:rsidRPr="00B876AC">
          <w:rPr>
            <w:rStyle w:val="Hyperlink"/>
            <w:rFonts w:eastAsia="Times New Roman"/>
          </w:rPr>
          <w:t>Melioidosis | Nature Reviews Disease Primers</w:t>
        </w:r>
      </w:hyperlink>
    </w:p>
    <w:p w14:paraId="6E4FD810" w14:textId="77777777" w:rsidR="005043C4" w:rsidRPr="005043C4" w:rsidRDefault="005043C4" w:rsidP="005043C4">
      <w:pPr>
        <w:numPr>
          <w:ilvl w:val="0"/>
          <w:numId w:val="9"/>
        </w:numPr>
        <w:spacing w:before="100" w:beforeAutospacing="1" w:after="100" w:afterAutospacing="1"/>
        <w:rPr>
          <w:rFonts w:eastAsia="Times New Roman"/>
        </w:rPr>
      </w:pPr>
      <w:r w:rsidRPr="005043C4">
        <w:rPr>
          <w:rFonts w:eastAsia="Times New Roman"/>
          <w:b/>
          <w:bCs/>
        </w:rPr>
        <w:t>PEP guidance:</w:t>
      </w:r>
      <w:r w:rsidRPr="005043C4">
        <w:rPr>
          <w:rFonts w:eastAsia="Times New Roman"/>
        </w:rPr>
        <w:t xml:space="preserve"> Healthcare providers should offer postexposure prophylaxis (PEP) (Trimethoprim/sulfamethoxazole or Amoxicillin/clavulanic acid) to patients who were exposed to the Better Homes and Gardens-branded Essential Oil Infused Aromatherapy Room Spray with Gemstones “Lavender &amp; Chamomile” scented product within the last seven days. </w:t>
      </w:r>
      <w:proofErr w:type="gramStart"/>
      <w:r w:rsidRPr="005043C4">
        <w:rPr>
          <w:rFonts w:eastAsia="Times New Roman"/>
        </w:rPr>
        <w:t>At this time</w:t>
      </w:r>
      <w:proofErr w:type="gramEnd"/>
      <w:r w:rsidRPr="005043C4">
        <w:rPr>
          <w:rFonts w:eastAsia="Times New Roman"/>
        </w:rPr>
        <w:t xml:space="preserve"> and out of an abundance of caution, PEP guidance also applies to </w:t>
      </w:r>
      <w:r w:rsidRPr="005043C4">
        <w:rPr>
          <w:rFonts w:eastAsia="Times New Roman"/>
        </w:rPr>
        <w:lastRenderedPageBreak/>
        <w:t>the five other scents under the same brand (Lemon and Mandarin, Lavender, Peppermint, Lime &amp; Eucalyptus, Sandalwood and Vanilla). Testing is underway to rule out contamination of these other scented aromatherapy products, and PEP guidance will be updated as more information becomes available.</w:t>
      </w:r>
    </w:p>
    <w:p w14:paraId="0820DFAB" w14:textId="77777777" w:rsidR="005043C4" w:rsidRPr="005043C4" w:rsidRDefault="005043C4" w:rsidP="005043C4">
      <w:pPr>
        <w:numPr>
          <w:ilvl w:val="1"/>
          <w:numId w:val="9"/>
        </w:numPr>
        <w:spacing w:before="100" w:beforeAutospacing="1" w:after="100" w:afterAutospacing="1"/>
        <w:rPr>
          <w:rFonts w:eastAsia="Times New Roman"/>
        </w:rPr>
      </w:pPr>
      <w:r w:rsidRPr="005043C4">
        <w:rPr>
          <w:rFonts w:eastAsia="Times New Roman"/>
        </w:rPr>
        <w:t>Exposure is defined as:</w:t>
      </w:r>
    </w:p>
    <w:p w14:paraId="70314E5A" w14:textId="77777777" w:rsidR="005043C4" w:rsidRPr="005043C4" w:rsidRDefault="005043C4" w:rsidP="005043C4">
      <w:pPr>
        <w:numPr>
          <w:ilvl w:val="2"/>
          <w:numId w:val="9"/>
        </w:numPr>
        <w:spacing w:before="100" w:beforeAutospacing="1" w:after="100" w:afterAutospacing="1"/>
        <w:rPr>
          <w:rFonts w:eastAsia="Times New Roman"/>
        </w:rPr>
      </w:pPr>
      <w:r w:rsidRPr="005043C4">
        <w:rPr>
          <w:rFonts w:eastAsia="Times New Roman"/>
        </w:rPr>
        <w:t>being in the room while the product is being sprayed in the seven days before clinical consultation</w:t>
      </w:r>
    </w:p>
    <w:p w14:paraId="2E97CB7B" w14:textId="77777777" w:rsidR="005043C4" w:rsidRPr="005043C4" w:rsidRDefault="005043C4" w:rsidP="005043C4">
      <w:pPr>
        <w:numPr>
          <w:ilvl w:val="2"/>
          <w:numId w:val="9"/>
        </w:numPr>
        <w:spacing w:before="100" w:beforeAutospacing="1" w:after="100" w:afterAutospacing="1"/>
        <w:rPr>
          <w:rFonts w:eastAsia="Times New Roman"/>
        </w:rPr>
      </w:pPr>
      <w:r w:rsidRPr="005043C4">
        <w:rPr>
          <w:rFonts w:eastAsia="Times New Roman"/>
        </w:rPr>
        <w:t>having directly “sniffed” or inhaled from the product bottle in the seven days before clinical consultation</w:t>
      </w:r>
    </w:p>
    <w:p w14:paraId="10660008" w14:textId="77777777" w:rsidR="005043C4" w:rsidRPr="005043C4" w:rsidRDefault="005043C4" w:rsidP="005043C4">
      <w:pPr>
        <w:numPr>
          <w:ilvl w:val="2"/>
          <w:numId w:val="9"/>
        </w:numPr>
        <w:spacing w:before="100" w:beforeAutospacing="1" w:after="100" w:afterAutospacing="1"/>
        <w:rPr>
          <w:rFonts w:eastAsia="Times New Roman"/>
        </w:rPr>
      </w:pPr>
      <w:r w:rsidRPr="005043C4">
        <w:rPr>
          <w:rFonts w:eastAsia="Times New Roman"/>
        </w:rPr>
        <w:t>having direct contact with an item (such as pillowcases or other linens) on which the product has been sprayed in the seven days before clinical consultation.</w:t>
      </w:r>
    </w:p>
    <w:p w14:paraId="341BFE49" w14:textId="77777777" w:rsidR="005043C4" w:rsidRPr="005043C4" w:rsidRDefault="005043C4" w:rsidP="005043C4">
      <w:pPr>
        <w:numPr>
          <w:ilvl w:val="1"/>
          <w:numId w:val="9"/>
        </w:numPr>
        <w:spacing w:before="100" w:beforeAutospacing="1" w:after="100" w:afterAutospacing="1"/>
        <w:rPr>
          <w:rFonts w:eastAsia="Times New Roman"/>
        </w:rPr>
      </w:pPr>
      <w:r w:rsidRPr="005043C4">
        <w:rPr>
          <w:rFonts w:eastAsia="Times New Roman"/>
        </w:rPr>
        <w:t>High risk groups where PEP is highly recommended if exposed include:</w:t>
      </w:r>
    </w:p>
    <w:p w14:paraId="30F70605" w14:textId="77777777" w:rsidR="005043C4" w:rsidRPr="005043C4" w:rsidRDefault="005043C4" w:rsidP="005043C4">
      <w:pPr>
        <w:numPr>
          <w:ilvl w:val="2"/>
          <w:numId w:val="9"/>
        </w:numPr>
        <w:spacing w:before="100" w:beforeAutospacing="1" w:after="100" w:afterAutospacing="1"/>
        <w:rPr>
          <w:rFonts w:eastAsia="Times New Roman"/>
        </w:rPr>
      </w:pPr>
      <w:r w:rsidRPr="005043C4">
        <w:rPr>
          <w:rFonts w:eastAsia="Times New Roman"/>
        </w:rPr>
        <w:t>Any child with no known risk factors who has directly “sniffed” or inhaled the product in the past seven days</w:t>
      </w:r>
    </w:p>
    <w:p w14:paraId="0FAEBCF2" w14:textId="77777777" w:rsidR="005043C4" w:rsidRPr="005043C4" w:rsidRDefault="005043C4" w:rsidP="005043C4">
      <w:pPr>
        <w:numPr>
          <w:ilvl w:val="2"/>
          <w:numId w:val="9"/>
        </w:numPr>
        <w:spacing w:before="100" w:beforeAutospacing="1" w:after="100" w:afterAutospacing="1"/>
        <w:rPr>
          <w:rFonts w:eastAsia="Times New Roman"/>
        </w:rPr>
      </w:pPr>
      <w:r w:rsidRPr="005043C4">
        <w:rPr>
          <w:rFonts w:eastAsia="Times New Roman"/>
        </w:rPr>
        <w:t>Anyone with known risk factors for melioidosis which include diabetes, excessive alcohol use, chronic liver disease, chronic renal disease, chronic lung disease, cancer, or immune suppressing condition other than HIV. Diabetes is the most significant risk factor for melioidosis.</w:t>
      </w:r>
    </w:p>
    <w:p w14:paraId="3D933C32" w14:textId="77777777" w:rsidR="005043C4" w:rsidRPr="005043C4" w:rsidRDefault="005043C4" w:rsidP="005043C4">
      <w:pPr>
        <w:numPr>
          <w:ilvl w:val="1"/>
          <w:numId w:val="9"/>
        </w:numPr>
        <w:spacing w:before="100" w:beforeAutospacing="1" w:after="100" w:afterAutospacing="1"/>
        <w:rPr>
          <w:rFonts w:eastAsia="Times New Roman"/>
        </w:rPr>
      </w:pPr>
      <w:r w:rsidRPr="005043C4">
        <w:rPr>
          <w:rFonts w:eastAsia="Times New Roman"/>
        </w:rPr>
        <w:t xml:space="preserve">Lower risk groups where PEP may be considered </w:t>
      </w:r>
      <w:r w:rsidRPr="005043C4">
        <w:rPr>
          <w:rFonts w:eastAsia="Times New Roman"/>
          <w:b/>
          <w:bCs/>
        </w:rPr>
        <w:t>if exposed</w:t>
      </w:r>
      <w:r w:rsidRPr="005043C4">
        <w:rPr>
          <w:rFonts w:eastAsia="Times New Roman"/>
        </w:rPr>
        <w:t xml:space="preserve"> include healthy adults with no known risk factors.</w:t>
      </w:r>
    </w:p>
    <w:p w14:paraId="74D9EC8F" w14:textId="77777777" w:rsidR="005043C4" w:rsidRPr="005043C4" w:rsidRDefault="005043C4" w:rsidP="005043C4">
      <w:pPr>
        <w:numPr>
          <w:ilvl w:val="1"/>
          <w:numId w:val="9"/>
        </w:numPr>
        <w:spacing w:before="100" w:beforeAutospacing="1" w:after="100" w:afterAutospacing="1"/>
        <w:rPr>
          <w:rFonts w:eastAsia="Times New Roman"/>
        </w:rPr>
      </w:pPr>
      <w:r w:rsidRPr="005043C4">
        <w:rPr>
          <w:rFonts w:eastAsia="Times New Roman"/>
        </w:rPr>
        <w:t>Patients who were exposed to the contaminated room spray more than seven days before the clinical encounter date and patients who were exposed within the past seven days but decide not to take PEP should be counseled to monitor or be monitored for</w:t>
      </w:r>
      <w:r w:rsidR="00056313">
        <w:rPr>
          <w:rFonts w:eastAsia="Times New Roman"/>
        </w:rPr>
        <w:t xml:space="preserve"> </w:t>
      </w:r>
      <w:hyperlink r:id="rId26" w:history="1">
        <w:r w:rsidR="00056313">
          <w:rPr>
            <w:rStyle w:val="Hyperlink"/>
            <w:rFonts w:eastAsia="Times New Roman"/>
          </w:rPr>
          <w:t>acute signs and symptoms (https://www.cdc.gov/melioidosis/symptoms/index.html)</w:t>
        </w:r>
      </w:hyperlink>
      <w:r w:rsidR="00056313">
        <w:rPr>
          <w:rFonts w:eastAsia="Times New Roman"/>
        </w:rPr>
        <w:t xml:space="preserve"> </w:t>
      </w:r>
      <w:r w:rsidRPr="005043C4">
        <w:rPr>
          <w:rFonts w:eastAsia="Times New Roman"/>
        </w:rPr>
        <w:t>for the 21 days after their last exposure date.</w:t>
      </w:r>
    </w:p>
    <w:p w14:paraId="5CFEE949" w14:textId="77777777" w:rsidR="005043C4" w:rsidRPr="005043C4" w:rsidRDefault="005043C4" w:rsidP="005043C4">
      <w:pPr>
        <w:numPr>
          <w:ilvl w:val="1"/>
          <w:numId w:val="9"/>
        </w:numPr>
        <w:spacing w:before="100" w:beforeAutospacing="1" w:after="100" w:afterAutospacing="1"/>
        <w:rPr>
          <w:rFonts w:eastAsia="Times New Roman"/>
        </w:rPr>
      </w:pPr>
      <w:r w:rsidRPr="005043C4">
        <w:rPr>
          <w:rFonts w:eastAsia="Times New Roman"/>
        </w:rPr>
        <w:t>For 95% of melioidosis cases, symptoms occur within 21 days from exposure; 5% of cases develop symptoms from latent infections past this 21-day exposure window. Although rare, an exposed person who develops</w:t>
      </w:r>
      <w:r w:rsidR="00056313">
        <w:rPr>
          <w:rFonts w:eastAsia="Times New Roman"/>
        </w:rPr>
        <w:t xml:space="preserve"> </w:t>
      </w:r>
      <w:hyperlink r:id="rId27" w:history="1">
        <w:r w:rsidR="00056313">
          <w:rPr>
            <w:rStyle w:val="Hyperlink"/>
            <w:rFonts w:eastAsia="Times New Roman"/>
          </w:rPr>
          <w:t>acute signs and symptoms consistent with melioidosis https://www.cdc.gov/melioidosis/symptoms/index.html)</w:t>
        </w:r>
      </w:hyperlink>
      <w:r w:rsidR="00056313">
        <w:rPr>
          <w:rFonts w:eastAsia="Times New Roman"/>
        </w:rPr>
        <w:t xml:space="preserve"> </w:t>
      </w:r>
      <w:r w:rsidRPr="005043C4">
        <w:rPr>
          <w:rFonts w:eastAsia="Times New Roman"/>
        </w:rPr>
        <w:t>within 21 days of their last exposure should seek medical care.</w:t>
      </w:r>
    </w:p>
    <w:p w14:paraId="78D615EB" w14:textId="72B6E75D" w:rsidR="00056313" w:rsidRDefault="005043C4" w:rsidP="005043C4">
      <w:pPr>
        <w:numPr>
          <w:ilvl w:val="1"/>
          <w:numId w:val="9"/>
        </w:numPr>
        <w:spacing w:before="100" w:beforeAutospacing="1" w:after="100" w:afterAutospacing="1"/>
        <w:rPr>
          <w:rFonts w:eastAsia="Times New Roman"/>
        </w:rPr>
      </w:pPr>
      <w:r w:rsidRPr="005043C4">
        <w:rPr>
          <w:rFonts w:eastAsia="Times New Roman"/>
        </w:rPr>
        <w:t>At this point serology testing is not warranted if PEP is offered due to exposure; if the patient is</w:t>
      </w:r>
      <w:r>
        <w:rPr>
          <w:rFonts w:eastAsia="Times New Roman"/>
        </w:rPr>
        <w:t xml:space="preserve"> </w:t>
      </w:r>
      <w:hyperlink r:id="rId28" w:history="1">
        <w:r w:rsidRPr="005043C4">
          <w:rPr>
            <w:rStyle w:val="Hyperlink"/>
            <w:rFonts w:eastAsia="Times New Roman"/>
          </w:rPr>
          <w:t>symptomatic</w:t>
        </w:r>
      </w:hyperlink>
      <w:r>
        <w:rPr>
          <w:rFonts w:eastAsia="Times New Roman"/>
        </w:rPr>
        <w:t xml:space="preserve">, </w:t>
      </w:r>
      <w:r w:rsidRPr="005043C4">
        <w:rPr>
          <w:rFonts w:eastAsia="Times New Roman"/>
        </w:rPr>
        <w:t>they should contact a primary health provider so specimens can be collected for culture if indicated.</w:t>
      </w:r>
    </w:p>
    <w:p w14:paraId="4813BE93" w14:textId="43A7611F" w:rsidR="00056313" w:rsidRDefault="00056313" w:rsidP="00056313">
      <w:pPr>
        <w:pStyle w:val="Heading3"/>
        <w:rPr>
          <w:rFonts w:eastAsia="Times New Roman"/>
        </w:rPr>
      </w:pPr>
      <w:r>
        <w:rPr>
          <w:rFonts w:eastAsia="Times New Roman"/>
        </w:rPr>
        <w:t xml:space="preserve">Table: Postexposure prophylaxis for </w:t>
      </w:r>
      <w:proofErr w:type="spellStart"/>
      <w:r>
        <w:rPr>
          <w:rFonts w:eastAsia="Times New Roman"/>
          <w:i/>
          <w:iCs/>
        </w:rPr>
        <w:t>Burkholderia</w:t>
      </w:r>
      <w:proofErr w:type="spellEnd"/>
      <w:r>
        <w:rPr>
          <w:rFonts w:eastAsia="Times New Roman"/>
          <w:i/>
          <w:iCs/>
        </w:rPr>
        <w:t xml:space="preserve"> </w:t>
      </w:r>
      <w:proofErr w:type="spellStart"/>
      <w:r>
        <w:rPr>
          <w:rFonts w:eastAsia="Times New Roman"/>
          <w:i/>
          <w:iCs/>
        </w:rPr>
        <w:t>pseudomallei</w:t>
      </w:r>
      <w:proofErr w:type="spellEnd"/>
      <w:r>
        <w:rPr>
          <w:rFonts w:eastAsia="Times New Roman"/>
        </w:rPr>
        <w:t xml:space="preserve"> </w:t>
      </w:r>
    </w:p>
    <w:p w14:paraId="0745C745" w14:textId="5933285D" w:rsidR="0036028B" w:rsidRPr="0036028B" w:rsidRDefault="00372091" w:rsidP="0036028B">
      <w:hyperlink r:id="rId29" w:history="1">
        <w:r w:rsidR="0036028B" w:rsidRPr="0036028B">
          <w:rPr>
            <w:rStyle w:val="Hyperlink"/>
          </w:rPr>
          <w:t xml:space="preserve">Postexposure prophylaxis for </w:t>
        </w:r>
        <w:proofErr w:type="spellStart"/>
        <w:r w:rsidR="0036028B" w:rsidRPr="0036028B">
          <w:rPr>
            <w:rStyle w:val="Hyperlink"/>
            <w:i/>
            <w:iCs/>
          </w:rPr>
          <w:t>Burkholderia</w:t>
        </w:r>
        <w:proofErr w:type="spellEnd"/>
        <w:r w:rsidR="0036028B" w:rsidRPr="0036028B">
          <w:rPr>
            <w:rStyle w:val="Hyperlink"/>
            <w:i/>
            <w:iCs/>
          </w:rPr>
          <w:t xml:space="preserve"> </w:t>
        </w:r>
        <w:proofErr w:type="spellStart"/>
        <w:r w:rsidR="0036028B" w:rsidRPr="0036028B">
          <w:rPr>
            <w:rStyle w:val="Hyperlink"/>
            <w:i/>
            <w:iCs/>
          </w:rPr>
          <w:t>pseudomallei</w:t>
        </w:r>
        <w:proofErr w:type="spellEnd"/>
        <w:r w:rsidR="0036028B" w:rsidRPr="0036028B">
          <w:rPr>
            <w:rStyle w:val="Hyperlink"/>
          </w:rPr>
          <w:t xml:space="preserve">: Workshop on Treatment of and Postexposure Prophylaxis for </w:t>
        </w:r>
        <w:proofErr w:type="spellStart"/>
        <w:r w:rsidR="0036028B" w:rsidRPr="0036028B">
          <w:rPr>
            <w:rStyle w:val="Hyperlink"/>
            <w:i/>
            <w:iCs/>
          </w:rPr>
          <w:t>Burkholderia</w:t>
        </w:r>
        <w:proofErr w:type="spellEnd"/>
        <w:r w:rsidR="0036028B" w:rsidRPr="0036028B">
          <w:rPr>
            <w:rStyle w:val="Hyperlink"/>
            <w:i/>
            <w:iCs/>
          </w:rPr>
          <w:t xml:space="preserve"> </w:t>
        </w:r>
        <w:proofErr w:type="spellStart"/>
        <w:r w:rsidR="0036028B" w:rsidRPr="0036028B">
          <w:rPr>
            <w:rStyle w:val="Hyperlink"/>
            <w:i/>
            <w:iCs/>
          </w:rPr>
          <w:t>pseudomallei</w:t>
        </w:r>
        <w:proofErr w:type="spellEnd"/>
        <w:r w:rsidR="0036028B" w:rsidRPr="0036028B">
          <w:rPr>
            <w:rStyle w:val="Hyperlink"/>
          </w:rPr>
          <w:t xml:space="preserve"> and </w:t>
        </w:r>
        <w:r w:rsidR="0036028B" w:rsidRPr="00AA25F5">
          <w:rPr>
            <w:rStyle w:val="Hyperlink"/>
            <w:i/>
            <w:iCs/>
          </w:rPr>
          <w:t>B. mallei</w:t>
        </w:r>
        <w:r w:rsidR="0036028B" w:rsidRPr="0036028B">
          <w:rPr>
            <w:rStyle w:val="Hyperlink"/>
          </w:rPr>
          <w:t xml:space="preserve"> Infection, 2010</w:t>
        </w:r>
      </w:hyperlink>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1"/>
        <w:gridCol w:w="1751"/>
        <w:gridCol w:w="2910"/>
        <w:gridCol w:w="102"/>
      </w:tblGrid>
      <w:tr w:rsidR="00AA25F5" w14:paraId="1C8756AC" w14:textId="45ADEF93" w:rsidTr="00AA25F5">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2DDF3" w14:textId="77777777" w:rsidR="00AA25F5" w:rsidRDefault="00AA25F5">
            <w:pPr>
              <w:jc w:val="center"/>
              <w:rPr>
                <w:b/>
                <w:bCs/>
              </w:rPr>
            </w:pPr>
            <w:r>
              <w:rPr>
                <w:b/>
                <w:bCs/>
              </w:rPr>
              <w:t>Drug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9973C" w14:textId="77777777" w:rsidR="00AA25F5" w:rsidRDefault="00AA25F5">
            <w:pPr>
              <w:jc w:val="center"/>
              <w:rPr>
                <w:b/>
                <w:bCs/>
              </w:rPr>
            </w:pPr>
            <w:r>
              <w:rPr>
                <w:b/>
                <w:bCs/>
              </w:rPr>
              <w:t>Patient characteristics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B981D" w14:textId="77777777" w:rsidR="00AA25F5" w:rsidRDefault="00AA25F5">
            <w:pPr>
              <w:jc w:val="center"/>
              <w:rPr>
                <w:b/>
                <w:bCs/>
              </w:rPr>
            </w:pPr>
            <w:r>
              <w:rPr>
                <w:b/>
                <w:bCs/>
              </w:rPr>
              <w:t>Recommended dosage/frequency</w:t>
            </w:r>
          </w:p>
        </w:tc>
        <w:tc>
          <w:tcPr>
            <w:tcW w:w="0" w:type="auto"/>
            <w:tcBorders>
              <w:top w:val="outset" w:sz="6" w:space="0" w:color="auto"/>
              <w:left w:val="outset" w:sz="6" w:space="0" w:color="auto"/>
              <w:bottom w:val="outset" w:sz="6" w:space="0" w:color="auto"/>
              <w:right w:val="outset" w:sz="6" w:space="0" w:color="auto"/>
            </w:tcBorders>
          </w:tcPr>
          <w:p w14:paraId="3CCCA8B4" w14:textId="77777777" w:rsidR="00AA25F5" w:rsidRDefault="00AA25F5">
            <w:pPr>
              <w:jc w:val="center"/>
              <w:rPr>
                <w:b/>
                <w:bCs/>
              </w:rPr>
            </w:pPr>
          </w:p>
        </w:tc>
      </w:tr>
      <w:tr w:rsidR="00AA25F5" w14:paraId="13718508" w14:textId="1270D41D" w:rsidTr="00AA25F5">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4B890" w14:textId="2EF3F67A" w:rsidR="00AA25F5" w:rsidRDefault="00AA25F5">
            <w:pPr>
              <w:jc w:val="center"/>
              <w:rPr>
                <w:b/>
                <w:bCs/>
              </w:rPr>
            </w:pPr>
            <w:r>
              <w:rPr>
                <w:b/>
                <w:bCs/>
              </w:rPr>
              <w:t>Trimethoprim/sulfamethoxazole (co-trimoxazole)</w:t>
            </w:r>
            <w:r w:rsidR="00804556">
              <w:rPr>
                <w:b/>
                <w:bCs/>
              </w:rPr>
              <w:t xml:space="preserve"> </w:t>
            </w:r>
            <w:r w:rsidR="00804556" w:rsidRPr="00804556">
              <w:rPr>
                <w:b/>
                <w:bCs/>
              </w:rPr>
              <w:t>(dosing assumes normal renal function)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92902" w14:textId="77777777" w:rsidR="00AA25F5" w:rsidRDefault="00AA25F5">
            <w:r>
              <w:t>Adult, &gt;60 kg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6EA25" w14:textId="77777777" w:rsidR="00AA25F5" w:rsidRDefault="00AA25F5">
            <w:r>
              <w:t>160 mg/800 mg tablets; two tablets every 12 h</w:t>
            </w:r>
          </w:p>
        </w:tc>
        <w:tc>
          <w:tcPr>
            <w:tcW w:w="0" w:type="auto"/>
            <w:tcBorders>
              <w:top w:val="outset" w:sz="6" w:space="0" w:color="auto"/>
              <w:left w:val="outset" w:sz="6" w:space="0" w:color="auto"/>
              <w:bottom w:val="outset" w:sz="6" w:space="0" w:color="auto"/>
              <w:right w:val="outset" w:sz="6" w:space="0" w:color="auto"/>
            </w:tcBorders>
          </w:tcPr>
          <w:p w14:paraId="0D862465" w14:textId="77777777" w:rsidR="00AA25F5" w:rsidRDefault="00AA25F5"/>
        </w:tc>
      </w:tr>
      <w:tr w:rsidR="00AA25F5" w14:paraId="34E595F9" w14:textId="6E2EF195" w:rsidTr="00AA25F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9337D" w14:textId="77777777" w:rsidR="00AA25F5" w:rsidRDefault="00AA25F5">
            <w:pPr>
              <w:rPr>
                <w:rFonts w:ascii="Calibri" w:hAnsi="Calibri" w:cs="Calibri"/>
                <w:b/>
                <w:bCs/>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902FF" w14:textId="77777777" w:rsidR="00AA25F5" w:rsidRDefault="00AA25F5">
            <w:r>
              <w:t>Adult, 40–60 kg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4E081" w14:textId="77777777" w:rsidR="00AA25F5" w:rsidRDefault="00AA25F5">
            <w:r>
              <w:t>80 mg/400 mg tablets; three tablets every 12 h</w:t>
            </w:r>
          </w:p>
        </w:tc>
        <w:tc>
          <w:tcPr>
            <w:tcW w:w="0" w:type="auto"/>
            <w:tcBorders>
              <w:top w:val="outset" w:sz="6" w:space="0" w:color="auto"/>
              <w:left w:val="outset" w:sz="6" w:space="0" w:color="auto"/>
              <w:bottom w:val="outset" w:sz="6" w:space="0" w:color="auto"/>
              <w:right w:val="outset" w:sz="6" w:space="0" w:color="auto"/>
            </w:tcBorders>
          </w:tcPr>
          <w:p w14:paraId="19F6D87E" w14:textId="77777777" w:rsidR="00AA25F5" w:rsidRDefault="00AA25F5"/>
        </w:tc>
      </w:tr>
      <w:tr w:rsidR="00AA25F5" w14:paraId="3F99D672" w14:textId="2DDC1AE3" w:rsidTr="00AA25F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B73484" w14:textId="77777777" w:rsidR="00AA25F5" w:rsidRDefault="00AA25F5">
            <w:pPr>
              <w:rPr>
                <w:rFonts w:ascii="Calibri" w:hAnsi="Calibri" w:cs="Calibri"/>
                <w:b/>
                <w:bCs/>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69B99" w14:textId="77777777" w:rsidR="00AA25F5" w:rsidRDefault="00AA25F5">
            <w:r>
              <w:t>Adult, &lt;40 kg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C08CA" w14:textId="77777777" w:rsidR="00AA25F5" w:rsidRDefault="00AA25F5">
            <w:r>
              <w:t xml:space="preserve">160 mg/800 mg tablets; one tablet every 12 h </w:t>
            </w:r>
            <w:r>
              <w:br/>
              <w:t>OR</w:t>
            </w:r>
            <w:r>
              <w:br/>
              <w:t>80 mg/400 mg tablets; two tablets every 12 h</w:t>
            </w:r>
          </w:p>
        </w:tc>
        <w:tc>
          <w:tcPr>
            <w:tcW w:w="0" w:type="auto"/>
            <w:tcBorders>
              <w:top w:val="outset" w:sz="6" w:space="0" w:color="auto"/>
              <w:left w:val="outset" w:sz="6" w:space="0" w:color="auto"/>
              <w:bottom w:val="outset" w:sz="6" w:space="0" w:color="auto"/>
              <w:right w:val="outset" w:sz="6" w:space="0" w:color="auto"/>
            </w:tcBorders>
          </w:tcPr>
          <w:p w14:paraId="70004A62" w14:textId="77777777" w:rsidR="00AA25F5" w:rsidRDefault="00AA25F5"/>
        </w:tc>
      </w:tr>
      <w:tr w:rsidR="00AA25F5" w14:paraId="06987605" w14:textId="56327C39" w:rsidTr="00AA25F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49B93" w14:textId="77777777" w:rsidR="00AA25F5" w:rsidRDefault="00AA25F5">
            <w:pPr>
              <w:rPr>
                <w:rFonts w:ascii="Calibri" w:hAnsi="Calibri" w:cs="Calibri"/>
                <w:b/>
                <w:bCs/>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106CF" w14:textId="77777777" w:rsidR="00AA25F5" w:rsidRDefault="00AA25F5">
            <w:r>
              <w:t>Child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EF3B7" w14:textId="77777777" w:rsidR="00AA25F5" w:rsidRDefault="00AA25F5">
            <w:r>
              <w:t>6 mg/30 mg per kg; maximum dose 320 mg/1600 mg every 12 h</w:t>
            </w:r>
          </w:p>
        </w:tc>
        <w:tc>
          <w:tcPr>
            <w:tcW w:w="0" w:type="auto"/>
            <w:tcBorders>
              <w:top w:val="outset" w:sz="6" w:space="0" w:color="auto"/>
              <w:left w:val="outset" w:sz="6" w:space="0" w:color="auto"/>
              <w:bottom w:val="outset" w:sz="6" w:space="0" w:color="auto"/>
              <w:right w:val="outset" w:sz="6" w:space="0" w:color="auto"/>
            </w:tcBorders>
          </w:tcPr>
          <w:p w14:paraId="69D482D4" w14:textId="77777777" w:rsidR="00AA25F5" w:rsidRDefault="00AA25F5"/>
        </w:tc>
      </w:tr>
      <w:tr w:rsidR="00AA25F5" w14:paraId="599608E2" w14:textId="18ABDCFA" w:rsidTr="00AA25F5">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45CAF" w14:textId="77777777" w:rsidR="00AA25F5" w:rsidRDefault="00AA25F5">
            <w:pPr>
              <w:jc w:val="center"/>
              <w:rPr>
                <w:b/>
                <w:bCs/>
              </w:rPr>
            </w:pPr>
            <w:r>
              <w:rPr>
                <w:b/>
                <w:bCs/>
              </w:rPr>
              <w:t>OR</w:t>
            </w:r>
            <w:r>
              <w:rPr>
                <w:b/>
                <w:bCs/>
              </w:rPr>
              <w:br/>
              <w:t>Amoxicillin/clavulanic acid (co-amoxiclav)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46843" w14:textId="77777777" w:rsidR="00AA25F5" w:rsidRDefault="00AA25F5">
            <w:r>
              <w:t>Adult, &gt;60 kg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09F23" w14:textId="77777777" w:rsidR="00AA25F5" w:rsidRDefault="00AA25F5">
            <w:r>
              <w:t xml:space="preserve">500 mg/125 mg tablets; three tablets every 8 </w:t>
            </w:r>
            <w:proofErr w:type="spellStart"/>
            <w:r>
              <w:t>h</w:t>
            </w:r>
            <w:hyperlink w:anchor="b&quot;" w:history="1">
              <w:r>
                <w:rPr>
                  <w:rStyle w:val="Hyperlink"/>
                  <w:vertAlign w:val="superscript"/>
                </w:rPr>
                <w:t>b</w:t>
              </w:r>
              <w:proofErr w:type="spellEnd"/>
            </w:hyperlink>
          </w:p>
        </w:tc>
        <w:tc>
          <w:tcPr>
            <w:tcW w:w="0" w:type="auto"/>
            <w:tcBorders>
              <w:top w:val="outset" w:sz="6" w:space="0" w:color="auto"/>
              <w:left w:val="outset" w:sz="6" w:space="0" w:color="auto"/>
              <w:bottom w:val="outset" w:sz="6" w:space="0" w:color="auto"/>
              <w:right w:val="outset" w:sz="6" w:space="0" w:color="auto"/>
            </w:tcBorders>
          </w:tcPr>
          <w:p w14:paraId="1449341F" w14:textId="77777777" w:rsidR="00AA25F5" w:rsidRDefault="00AA25F5"/>
        </w:tc>
      </w:tr>
      <w:tr w:rsidR="00AA25F5" w14:paraId="41E5699D" w14:textId="57613FCF" w:rsidTr="00AA25F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DFBA03" w14:textId="77777777" w:rsidR="00AA25F5" w:rsidRDefault="00AA25F5">
            <w:pPr>
              <w:rPr>
                <w:rFonts w:ascii="Calibri" w:hAnsi="Calibri" w:cs="Calibri"/>
                <w:b/>
                <w:bCs/>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00539" w14:textId="14E6C11E" w:rsidR="00AA25F5" w:rsidRDefault="00AA25F5">
            <w:r>
              <w:t xml:space="preserve">Adult, </w:t>
            </w:r>
            <w:r w:rsidR="00804556">
              <w:t>&lt;</w:t>
            </w:r>
            <w:r>
              <w:t>60 kg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050033" w14:textId="77777777" w:rsidR="00AA25F5" w:rsidRDefault="00AA25F5">
            <w:r>
              <w:t xml:space="preserve">500 mg/125 mg tablets; two tablets every 8 </w:t>
            </w:r>
            <w:proofErr w:type="spellStart"/>
            <w:r>
              <w:t>h</w:t>
            </w:r>
            <w:hyperlink w:anchor="b&quot;" w:history="1">
              <w:r>
                <w:rPr>
                  <w:rStyle w:val="Hyperlink"/>
                  <w:vertAlign w:val="superscript"/>
                </w:rPr>
                <w:t>b</w:t>
              </w:r>
              <w:proofErr w:type="spellEnd"/>
            </w:hyperlink>
          </w:p>
        </w:tc>
        <w:tc>
          <w:tcPr>
            <w:tcW w:w="0" w:type="auto"/>
            <w:tcBorders>
              <w:top w:val="outset" w:sz="6" w:space="0" w:color="auto"/>
              <w:left w:val="outset" w:sz="6" w:space="0" w:color="auto"/>
              <w:bottom w:val="outset" w:sz="6" w:space="0" w:color="auto"/>
              <w:right w:val="outset" w:sz="6" w:space="0" w:color="auto"/>
            </w:tcBorders>
          </w:tcPr>
          <w:p w14:paraId="48D9CB08" w14:textId="77777777" w:rsidR="00AA25F5" w:rsidRDefault="00AA25F5"/>
        </w:tc>
      </w:tr>
      <w:tr w:rsidR="00AA25F5" w14:paraId="52A48E4C" w14:textId="664EBBC9" w:rsidTr="00AA25F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117D26" w14:textId="77777777" w:rsidR="00AA25F5" w:rsidRDefault="00AA25F5">
            <w:pPr>
              <w:rPr>
                <w:rFonts w:ascii="Calibri" w:hAnsi="Calibri" w:cs="Calibri"/>
                <w:b/>
                <w:bCs/>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AD326" w14:textId="77777777" w:rsidR="00AA25F5" w:rsidRDefault="00AA25F5">
            <w:r>
              <w:t>Child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83496D" w14:textId="77777777" w:rsidR="00AA25F5" w:rsidRDefault="00AA25F5">
            <w:r>
              <w:t>20 mg/5 mg per kg every 8 h; maximum dose 1000 mg/250 mg every 8 h</w:t>
            </w:r>
          </w:p>
        </w:tc>
        <w:tc>
          <w:tcPr>
            <w:tcW w:w="0" w:type="auto"/>
            <w:tcBorders>
              <w:top w:val="outset" w:sz="6" w:space="0" w:color="auto"/>
              <w:left w:val="outset" w:sz="6" w:space="0" w:color="auto"/>
              <w:bottom w:val="outset" w:sz="6" w:space="0" w:color="auto"/>
              <w:right w:val="outset" w:sz="6" w:space="0" w:color="auto"/>
            </w:tcBorders>
          </w:tcPr>
          <w:p w14:paraId="7586EB9A" w14:textId="77777777" w:rsidR="00AA25F5" w:rsidRDefault="00AA25F5"/>
        </w:tc>
      </w:tr>
    </w:tbl>
    <w:p w14:paraId="0DF3E031" w14:textId="2B07811B" w:rsidR="00056313" w:rsidRDefault="00D92996" w:rsidP="00056313">
      <w:pPr>
        <w:pStyle w:val="NormalWeb"/>
        <w:rPr>
          <w:rFonts w:ascii="Calibri" w:hAnsi="Calibri" w:cs="Calibri"/>
          <w:sz w:val="22"/>
          <w:szCs w:val="22"/>
        </w:rPr>
      </w:pPr>
      <w:r w:rsidRPr="00D92996">
        <w:t>a Duration of post-exposure prophylaxis is 21 days. If the organism is susceptible and the patient does not have a documented allergy to it, oral co-trimoxazole is the agent of ﬁrst choice. If the organism is resistant to co-trimoxazole or the patient is intolerant, the second-line choice is co-amoxiclav.</w:t>
      </w:r>
      <w:r w:rsidR="00056313" w:rsidRPr="00D92996">
        <w:t xml:space="preserve"> </w:t>
      </w:r>
      <w:r w:rsidR="00056313" w:rsidRPr="00D92996">
        <w:br/>
      </w:r>
      <w:r w:rsidR="00056313">
        <w:t xml:space="preserve">b Weight-based dosage based on 20 mg/5 mg per kg per dose. </w:t>
      </w:r>
    </w:p>
    <w:p w14:paraId="5FEC5E76" w14:textId="77777777" w:rsidR="00056313" w:rsidRDefault="00056313" w:rsidP="00AA25F5">
      <w:pPr>
        <w:pStyle w:val="Heading2"/>
        <w:keepNext/>
        <w:rPr>
          <w:rFonts w:eastAsia="Times New Roman"/>
        </w:rPr>
      </w:pPr>
      <w:r>
        <w:rPr>
          <w:rFonts w:eastAsia="Times New Roman"/>
        </w:rPr>
        <w:t>Recommendations for Laboratorians</w:t>
      </w:r>
    </w:p>
    <w:p w14:paraId="3C0D342D" w14:textId="545E746B" w:rsidR="00804556" w:rsidRPr="00846B1E" w:rsidRDefault="00804556" w:rsidP="00846B1E">
      <w:pPr>
        <w:pStyle w:val="Heading2"/>
        <w:numPr>
          <w:ilvl w:val="0"/>
          <w:numId w:val="13"/>
        </w:numPr>
        <w:rPr>
          <w:rFonts w:ascii="Times New Roman" w:eastAsia="Times New Roman" w:hAnsi="Times New Roman" w:cs="Times New Roman"/>
          <w:b w:val="0"/>
          <w:color w:val="auto"/>
          <w:spacing w:val="0"/>
          <w:sz w:val="24"/>
          <w:szCs w:val="24"/>
        </w:rPr>
      </w:pPr>
      <w:r w:rsidRPr="00804556">
        <w:rPr>
          <w:rFonts w:ascii="Times New Roman" w:eastAsia="Times New Roman" w:hAnsi="Times New Roman" w:cs="Times New Roman"/>
          <w:b w:val="0"/>
          <w:color w:val="auto"/>
          <w:spacing w:val="0"/>
          <w:sz w:val="24"/>
          <w:szCs w:val="24"/>
        </w:rPr>
        <w:t xml:space="preserve">Laboratory personnel are at increased risk for infection from clinical specimens because some lab procedures may aerosolize particles that could inadvertently release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pseudomallei</w:t>
      </w:r>
      <w:proofErr w:type="spellEnd"/>
      <w:r w:rsidRPr="00804556">
        <w:rPr>
          <w:rFonts w:ascii="Times New Roman" w:eastAsia="Times New Roman" w:hAnsi="Times New Roman" w:cs="Times New Roman"/>
          <w:b w:val="0"/>
          <w:color w:val="auto"/>
          <w:spacing w:val="0"/>
          <w:sz w:val="24"/>
          <w:szCs w:val="24"/>
        </w:rPr>
        <w:t xml:space="preserve"> into the air. Laboratory personnel can reduce their risk of exposure by following safe laboratory practices and using BSL3 practices and procedures when handling suspect cultures.</w:t>
      </w:r>
      <w:r w:rsidR="00846B1E">
        <w:rPr>
          <w:rFonts w:ascii="Times New Roman" w:eastAsia="Times New Roman" w:hAnsi="Times New Roman" w:cs="Times New Roman"/>
          <w:b w:val="0"/>
          <w:color w:val="auto"/>
          <w:spacing w:val="0"/>
          <w:sz w:val="24"/>
          <w:szCs w:val="24"/>
        </w:rPr>
        <w:t xml:space="preserve"> (</w:t>
      </w:r>
      <w:r w:rsidR="00846B1E" w:rsidRPr="00846B1E">
        <w:rPr>
          <w:rFonts w:ascii="Times New Roman" w:eastAsia="Times New Roman" w:hAnsi="Times New Roman" w:cs="Times New Roman"/>
          <w:b w:val="0"/>
          <w:color w:val="auto"/>
          <w:spacing w:val="0"/>
          <w:sz w:val="24"/>
          <w:szCs w:val="24"/>
        </w:rPr>
        <w:t>Biosafety in Microbiological and Biomedical Laboratories:</w:t>
      </w:r>
      <w:r w:rsidR="00846B1E">
        <w:rPr>
          <w:rFonts w:ascii="Times New Roman" w:eastAsia="Times New Roman" w:hAnsi="Times New Roman" w:cs="Times New Roman"/>
          <w:b w:val="0"/>
          <w:color w:val="auto"/>
          <w:spacing w:val="0"/>
          <w:sz w:val="24"/>
          <w:szCs w:val="24"/>
        </w:rPr>
        <w:t xml:space="preserve"> </w:t>
      </w:r>
      <w:hyperlink r:id="rId30" w:history="1">
        <w:r w:rsidR="00846B1E" w:rsidRPr="00846B1E">
          <w:rPr>
            <w:rStyle w:val="Hyperlink"/>
            <w:rFonts w:ascii="Times New Roman" w:eastAsia="Times New Roman" w:hAnsi="Times New Roman" w:cs="Times New Roman"/>
            <w:b w:val="0"/>
            <w:spacing w:val="0"/>
            <w:sz w:val="24"/>
            <w:szCs w:val="24"/>
          </w:rPr>
          <w:t>Biosafety in Microbiological and Biomedical Laboratories—6th Edition (cdc.gov)</w:t>
        </w:r>
      </w:hyperlink>
      <w:r w:rsidR="00846B1E">
        <w:rPr>
          <w:rFonts w:ascii="Times New Roman" w:eastAsia="Times New Roman" w:hAnsi="Times New Roman" w:cs="Times New Roman"/>
          <w:b w:val="0"/>
          <w:color w:val="auto"/>
          <w:spacing w:val="0"/>
          <w:sz w:val="24"/>
          <w:szCs w:val="24"/>
        </w:rPr>
        <w:t xml:space="preserve">) </w:t>
      </w:r>
      <w:r w:rsidR="00372091">
        <w:rPr>
          <w:rFonts w:ascii="Times New Roman" w:eastAsia="Times New Roman" w:hAnsi="Times New Roman" w:cs="Times New Roman"/>
          <w:b w:val="0"/>
          <w:color w:val="auto"/>
          <w:spacing w:val="0"/>
          <w:sz w:val="24"/>
          <w:szCs w:val="24"/>
        </w:rPr>
        <w:t xml:space="preserve"> </w:t>
      </w:r>
      <w:r w:rsidR="00372091" w:rsidRPr="00372091">
        <w:rPr>
          <w:rFonts w:ascii="Times New Roman" w:eastAsia="Times New Roman" w:hAnsi="Times New Roman" w:cs="Times New Roman"/>
          <w:b w:val="0"/>
          <w:color w:val="auto"/>
          <w:spacing w:val="0"/>
          <w:sz w:val="24"/>
          <w:szCs w:val="24"/>
        </w:rPr>
        <w:t xml:space="preserve">Please call the MDH-PHL on-call phone at 612-282-3723 to discuss any possible </w:t>
      </w:r>
      <w:r w:rsidR="00372091" w:rsidRPr="00372091">
        <w:rPr>
          <w:rFonts w:ascii="Times New Roman" w:eastAsia="Times New Roman" w:hAnsi="Times New Roman" w:cs="Times New Roman"/>
          <w:b w:val="0"/>
          <w:i/>
          <w:iCs/>
          <w:color w:val="auto"/>
          <w:spacing w:val="0"/>
          <w:sz w:val="24"/>
          <w:szCs w:val="24"/>
        </w:rPr>
        <w:t xml:space="preserve">B. </w:t>
      </w:r>
      <w:proofErr w:type="spellStart"/>
      <w:r w:rsidR="00372091" w:rsidRPr="00372091">
        <w:rPr>
          <w:rFonts w:ascii="Times New Roman" w:eastAsia="Times New Roman" w:hAnsi="Times New Roman" w:cs="Times New Roman"/>
          <w:b w:val="0"/>
          <w:i/>
          <w:iCs/>
          <w:color w:val="auto"/>
          <w:spacing w:val="0"/>
          <w:sz w:val="24"/>
          <w:szCs w:val="24"/>
        </w:rPr>
        <w:t>pseudomallei</w:t>
      </w:r>
      <w:proofErr w:type="spellEnd"/>
      <w:r w:rsidR="00372091" w:rsidRPr="00372091">
        <w:rPr>
          <w:rFonts w:ascii="Times New Roman" w:eastAsia="Times New Roman" w:hAnsi="Times New Roman" w:cs="Times New Roman"/>
          <w:b w:val="0"/>
          <w:color w:val="auto"/>
          <w:spacing w:val="0"/>
          <w:sz w:val="24"/>
          <w:szCs w:val="24"/>
        </w:rPr>
        <w:t xml:space="preserve"> isolates and possible exposure risk. </w:t>
      </w:r>
      <w:r w:rsidRPr="00846B1E">
        <w:rPr>
          <w:rFonts w:ascii="Times New Roman" w:eastAsia="Times New Roman" w:hAnsi="Times New Roman" w:cs="Times New Roman"/>
          <w:b w:val="0"/>
          <w:color w:val="auto"/>
          <w:spacing w:val="0"/>
          <w:sz w:val="24"/>
          <w:szCs w:val="24"/>
        </w:rPr>
        <w:t xml:space="preserve">Laboratory staff who may have been exposed to </w:t>
      </w:r>
      <w:r w:rsidRPr="00846B1E">
        <w:rPr>
          <w:rFonts w:ascii="Times New Roman" w:eastAsia="Times New Roman" w:hAnsi="Times New Roman" w:cs="Times New Roman"/>
          <w:b w:val="0"/>
          <w:i/>
          <w:iCs/>
          <w:color w:val="auto"/>
          <w:spacing w:val="0"/>
          <w:sz w:val="24"/>
          <w:szCs w:val="24"/>
        </w:rPr>
        <w:t xml:space="preserve">B. </w:t>
      </w:r>
      <w:proofErr w:type="spellStart"/>
      <w:r w:rsidRPr="00846B1E">
        <w:rPr>
          <w:rFonts w:ascii="Times New Roman" w:eastAsia="Times New Roman" w:hAnsi="Times New Roman" w:cs="Times New Roman"/>
          <w:b w:val="0"/>
          <w:i/>
          <w:iCs/>
          <w:color w:val="auto"/>
          <w:spacing w:val="0"/>
          <w:sz w:val="24"/>
          <w:szCs w:val="24"/>
        </w:rPr>
        <w:t>pseudomallei</w:t>
      </w:r>
      <w:proofErr w:type="spellEnd"/>
      <w:r w:rsidRPr="00846B1E">
        <w:rPr>
          <w:rFonts w:ascii="Times New Roman" w:eastAsia="Times New Roman" w:hAnsi="Times New Roman" w:cs="Times New Roman"/>
          <w:b w:val="0"/>
          <w:color w:val="auto"/>
          <w:spacing w:val="0"/>
          <w:sz w:val="24"/>
          <w:szCs w:val="24"/>
        </w:rPr>
        <w:t xml:space="preserve"> should refer to existing CDC guidance.</w:t>
      </w:r>
      <w:r w:rsidR="00846B1E" w:rsidRPr="00846B1E">
        <w:rPr>
          <w:rFonts w:ascii="Times New Roman" w:eastAsia="Times New Roman" w:hAnsi="Times New Roman" w:cs="Times New Roman"/>
          <w:b w:val="0"/>
          <w:color w:val="auto"/>
          <w:spacing w:val="0"/>
          <w:sz w:val="24"/>
          <w:szCs w:val="24"/>
        </w:rPr>
        <w:t xml:space="preserve"> Management of laboratory exposures: </w:t>
      </w:r>
      <w:hyperlink r:id="rId31" w:history="1">
        <w:r w:rsidR="00846B1E" w:rsidRPr="00846B1E">
          <w:rPr>
            <w:rStyle w:val="Hyperlink"/>
            <w:rFonts w:ascii="Times New Roman" w:eastAsia="Times New Roman" w:hAnsi="Times New Roman" w:cs="Times New Roman"/>
            <w:b w:val="0"/>
            <w:spacing w:val="0"/>
            <w:sz w:val="24"/>
            <w:szCs w:val="24"/>
          </w:rPr>
          <w:t xml:space="preserve">Management of Accidental Laboratory Exposure to </w:t>
        </w:r>
        <w:proofErr w:type="spellStart"/>
        <w:r w:rsidR="00846B1E" w:rsidRPr="00846B1E">
          <w:rPr>
            <w:rStyle w:val="Hyperlink"/>
            <w:rFonts w:ascii="Times New Roman" w:eastAsia="Times New Roman" w:hAnsi="Times New Roman" w:cs="Times New Roman"/>
            <w:b w:val="0"/>
            <w:spacing w:val="0"/>
            <w:sz w:val="24"/>
            <w:szCs w:val="24"/>
          </w:rPr>
          <w:t>Burkholderia</w:t>
        </w:r>
        <w:proofErr w:type="spellEnd"/>
        <w:r w:rsidR="00846B1E" w:rsidRPr="00846B1E">
          <w:rPr>
            <w:rStyle w:val="Hyperlink"/>
            <w:rFonts w:ascii="Times New Roman" w:eastAsia="Times New Roman" w:hAnsi="Times New Roman" w:cs="Times New Roman"/>
            <w:b w:val="0"/>
            <w:spacing w:val="0"/>
            <w:sz w:val="24"/>
            <w:szCs w:val="24"/>
          </w:rPr>
          <w:t xml:space="preserve"> </w:t>
        </w:r>
        <w:proofErr w:type="spellStart"/>
        <w:r w:rsidR="00846B1E" w:rsidRPr="00846B1E">
          <w:rPr>
            <w:rStyle w:val="Hyperlink"/>
            <w:rFonts w:ascii="Times New Roman" w:eastAsia="Times New Roman" w:hAnsi="Times New Roman" w:cs="Times New Roman"/>
            <w:b w:val="0"/>
            <w:spacing w:val="0"/>
            <w:sz w:val="24"/>
            <w:szCs w:val="24"/>
          </w:rPr>
          <w:t>pseudomallei</w:t>
        </w:r>
        <w:proofErr w:type="spellEnd"/>
        <w:r w:rsidR="00846B1E" w:rsidRPr="00846B1E">
          <w:rPr>
            <w:rStyle w:val="Hyperlink"/>
            <w:rFonts w:ascii="Times New Roman" w:eastAsia="Times New Roman" w:hAnsi="Times New Roman" w:cs="Times New Roman"/>
            <w:b w:val="0"/>
            <w:spacing w:val="0"/>
            <w:sz w:val="24"/>
            <w:szCs w:val="24"/>
          </w:rPr>
          <w:t xml:space="preserve"> and B. mallei – Volume 14, Number 7—July 2008 – Emerging Infectious Diseases journal – CDC</w:t>
        </w:r>
      </w:hyperlink>
    </w:p>
    <w:p w14:paraId="61976EFF" w14:textId="77777777" w:rsidR="00804556" w:rsidRPr="00804556" w:rsidRDefault="00804556" w:rsidP="00804556">
      <w:pPr>
        <w:pStyle w:val="Heading2"/>
        <w:numPr>
          <w:ilvl w:val="0"/>
          <w:numId w:val="13"/>
        </w:numPr>
        <w:rPr>
          <w:rFonts w:ascii="Times New Roman" w:eastAsia="Times New Roman" w:hAnsi="Times New Roman" w:cs="Times New Roman"/>
          <w:b w:val="0"/>
          <w:color w:val="auto"/>
          <w:spacing w:val="0"/>
          <w:sz w:val="24"/>
          <w:szCs w:val="24"/>
        </w:rPr>
      </w:pPr>
      <w:r w:rsidRPr="00804556">
        <w:rPr>
          <w:rFonts w:ascii="Times New Roman" w:eastAsia="Times New Roman" w:hAnsi="Times New Roman" w:cs="Times New Roman"/>
          <w:b w:val="0"/>
          <w:color w:val="auto"/>
          <w:spacing w:val="0"/>
          <w:sz w:val="24"/>
          <w:szCs w:val="24"/>
        </w:rPr>
        <w:t xml:space="preserve">For clinical specimens, laboratory testing involving automated identification algorithms (e.g., MALDI-TOF, 16s, VITEK-2) may misidentify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pseudomallei</w:t>
      </w:r>
      <w:proofErr w:type="spellEnd"/>
      <w:r w:rsidRPr="00804556">
        <w:rPr>
          <w:rFonts w:ascii="Times New Roman" w:eastAsia="Times New Roman" w:hAnsi="Times New Roman" w:cs="Times New Roman"/>
          <w:b w:val="0"/>
          <w:color w:val="auto"/>
          <w:spacing w:val="0"/>
          <w:sz w:val="24"/>
          <w:szCs w:val="24"/>
        </w:rPr>
        <w:t xml:space="preserve"> as another bacterium. The isolate from the Texas case was initially misidentified as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thailandensis</w:t>
      </w:r>
      <w:proofErr w:type="spellEnd"/>
      <w:r w:rsidRPr="00804556">
        <w:rPr>
          <w:rFonts w:ascii="Times New Roman" w:eastAsia="Times New Roman" w:hAnsi="Times New Roman" w:cs="Times New Roman"/>
          <w:b w:val="0"/>
          <w:color w:val="auto"/>
          <w:spacing w:val="0"/>
          <w:sz w:val="24"/>
          <w:szCs w:val="24"/>
        </w:rPr>
        <w:t xml:space="preserve"> by MALDI-TOF. Consider re-evaluating patients with isolates identified on automated systems as </w:t>
      </w:r>
      <w:proofErr w:type="spellStart"/>
      <w:r w:rsidRPr="00804556">
        <w:rPr>
          <w:rFonts w:ascii="Times New Roman" w:eastAsia="Times New Roman" w:hAnsi="Times New Roman" w:cs="Times New Roman"/>
          <w:b w:val="0"/>
          <w:i/>
          <w:iCs/>
          <w:color w:val="auto"/>
          <w:spacing w:val="0"/>
          <w:sz w:val="24"/>
          <w:szCs w:val="24"/>
        </w:rPr>
        <w:t>Burkholderia</w:t>
      </w:r>
      <w:proofErr w:type="spellEnd"/>
      <w:r w:rsidRPr="00804556">
        <w:rPr>
          <w:rFonts w:ascii="Times New Roman" w:eastAsia="Times New Roman" w:hAnsi="Times New Roman" w:cs="Times New Roman"/>
          <w:b w:val="0"/>
          <w:i/>
          <w:iCs/>
          <w:color w:val="auto"/>
          <w:spacing w:val="0"/>
          <w:sz w:val="24"/>
          <w:szCs w:val="24"/>
        </w:rPr>
        <w:t xml:space="preserve"> spp</w:t>
      </w:r>
      <w:r w:rsidRPr="00804556">
        <w:rPr>
          <w:rFonts w:ascii="Times New Roman" w:eastAsia="Times New Roman" w:hAnsi="Times New Roman" w:cs="Times New Roman"/>
          <w:b w:val="0"/>
          <w:color w:val="auto"/>
          <w:spacing w:val="0"/>
          <w:sz w:val="24"/>
          <w:szCs w:val="24"/>
        </w:rPr>
        <w:t xml:space="preserve">. (specifically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cepacia</w:t>
      </w:r>
      <w:proofErr w:type="spellEnd"/>
      <w:r w:rsidRPr="00804556">
        <w:rPr>
          <w:rFonts w:ascii="Times New Roman" w:eastAsia="Times New Roman" w:hAnsi="Times New Roman" w:cs="Times New Roman"/>
          <w:b w:val="0"/>
          <w:color w:val="auto"/>
          <w:spacing w:val="0"/>
          <w:sz w:val="24"/>
          <w:szCs w:val="24"/>
        </w:rPr>
        <w:t xml:space="preserve"> and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thailandensis</w:t>
      </w:r>
      <w:proofErr w:type="spellEnd"/>
      <w:r w:rsidRPr="00804556">
        <w:rPr>
          <w:rFonts w:ascii="Times New Roman" w:eastAsia="Times New Roman" w:hAnsi="Times New Roman" w:cs="Times New Roman"/>
          <w:b w:val="0"/>
          <w:color w:val="auto"/>
          <w:spacing w:val="0"/>
          <w:sz w:val="24"/>
          <w:szCs w:val="24"/>
        </w:rPr>
        <w:t xml:space="preserve">), </w:t>
      </w:r>
      <w:proofErr w:type="spellStart"/>
      <w:r w:rsidRPr="00804556">
        <w:rPr>
          <w:rFonts w:ascii="Times New Roman" w:eastAsia="Times New Roman" w:hAnsi="Times New Roman" w:cs="Times New Roman"/>
          <w:b w:val="0"/>
          <w:i/>
          <w:iCs/>
          <w:color w:val="auto"/>
          <w:spacing w:val="0"/>
          <w:sz w:val="24"/>
          <w:szCs w:val="24"/>
        </w:rPr>
        <w:t>Chromobacterium</w:t>
      </w:r>
      <w:proofErr w:type="spellEnd"/>
      <w:r w:rsidRPr="00804556">
        <w:rPr>
          <w:rFonts w:ascii="Times New Roman" w:eastAsia="Times New Roman" w:hAnsi="Times New Roman" w:cs="Times New Roman"/>
          <w:b w:val="0"/>
          <w:i/>
          <w:iCs/>
          <w:color w:val="auto"/>
          <w:spacing w:val="0"/>
          <w:sz w:val="24"/>
          <w:szCs w:val="24"/>
        </w:rPr>
        <w:t xml:space="preserve"> </w:t>
      </w:r>
      <w:proofErr w:type="spellStart"/>
      <w:r w:rsidRPr="00804556">
        <w:rPr>
          <w:rFonts w:ascii="Times New Roman" w:eastAsia="Times New Roman" w:hAnsi="Times New Roman" w:cs="Times New Roman"/>
          <w:b w:val="0"/>
          <w:i/>
          <w:iCs/>
          <w:color w:val="auto"/>
          <w:spacing w:val="0"/>
          <w:sz w:val="24"/>
          <w:szCs w:val="24"/>
        </w:rPr>
        <w:t>violaceum</w:t>
      </w:r>
      <w:proofErr w:type="spellEnd"/>
      <w:r w:rsidRPr="00804556">
        <w:rPr>
          <w:rFonts w:ascii="Times New Roman" w:eastAsia="Times New Roman" w:hAnsi="Times New Roman" w:cs="Times New Roman"/>
          <w:b w:val="0"/>
          <w:color w:val="auto"/>
          <w:spacing w:val="0"/>
          <w:sz w:val="24"/>
          <w:szCs w:val="24"/>
        </w:rPr>
        <w:t xml:space="preserve">, </w:t>
      </w:r>
      <w:proofErr w:type="spellStart"/>
      <w:r w:rsidRPr="00804556">
        <w:rPr>
          <w:rFonts w:ascii="Times New Roman" w:eastAsia="Times New Roman" w:hAnsi="Times New Roman" w:cs="Times New Roman"/>
          <w:b w:val="0"/>
          <w:i/>
          <w:iCs/>
          <w:color w:val="auto"/>
          <w:spacing w:val="0"/>
          <w:sz w:val="24"/>
          <w:szCs w:val="24"/>
        </w:rPr>
        <w:t>Ochrobactrum</w:t>
      </w:r>
      <w:proofErr w:type="spellEnd"/>
      <w:r w:rsidRPr="00804556">
        <w:rPr>
          <w:rFonts w:ascii="Times New Roman" w:eastAsia="Times New Roman" w:hAnsi="Times New Roman" w:cs="Times New Roman"/>
          <w:b w:val="0"/>
          <w:i/>
          <w:iCs/>
          <w:color w:val="auto"/>
          <w:spacing w:val="0"/>
          <w:sz w:val="24"/>
          <w:szCs w:val="24"/>
        </w:rPr>
        <w:t xml:space="preserve"> </w:t>
      </w:r>
      <w:proofErr w:type="spellStart"/>
      <w:r w:rsidRPr="00804556">
        <w:rPr>
          <w:rFonts w:ascii="Times New Roman" w:eastAsia="Times New Roman" w:hAnsi="Times New Roman" w:cs="Times New Roman"/>
          <w:b w:val="0"/>
          <w:i/>
          <w:iCs/>
          <w:color w:val="auto"/>
          <w:spacing w:val="0"/>
          <w:sz w:val="24"/>
          <w:szCs w:val="24"/>
        </w:rPr>
        <w:t>anthropi</w:t>
      </w:r>
      <w:proofErr w:type="spellEnd"/>
      <w:r w:rsidRPr="00804556">
        <w:rPr>
          <w:rFonts w:ascii="Times New Roman" w:eastAsia="Times New Roman" w:hAnsi="Times New Roman" w:cs="Times New Roman"/>
          <w:b w:val="0"/>
          <w:color w:val="auto"/>
          <w:spacing w:val="0"/>
          <w:sz w:val="24"/>
          <w:szCs w:val="24"/>
        </w:rPr>
        <w:t xml:space="preserve">; and, possibly, </w:t>
      </w:r>
      <w:r w:rsidRPr="00804556">
        <w:rPr>
          <w:rFonts w:ascii="Times New Roman" w:eastAsia="Times New Roman" w:hAnsi="Times New Roman" w:cs="Times New Roman"/>
          <w:b w:val="0"/>
          <w:i/>
          <w:iCs/>
          <w:color w:val="auto"/>
          <w:spacing w:val="0"/>
          <w:sz w:val="24"/>
          <w:szCs w:val="24"/>
        </w:rPr>
        <w:t>Pseudomonas spp</w:t>
      </w:r>
      <w:r w:rsidRPr="00804556">
        <w:rPr>
          <w:rFonts w:ascii="Times New Roman" w:eastAsia="Times New Roman" w:hAnsi="Times New Roman" w:cs="Times New Roman"/>
          <w:b w:val="0"/>
          <w:color w:val="auto"/>
          <w:spacing w:val="0"/>
          <w:sz w:val="24"/>
          <w:szCs w:val="24"/>
        </w:rPr>
        <w:t xml:space="preserve">., </w:t>
      </w:r>
      <w:r w:rsidRPr="00804556">
        <w:rPr>
          <w:rFonts w:ascii="Times New Roman" w:eastAsia="Times New Roman" w:hAnsi="Times New Roman" w:cs="Times New Roman"/>
          <w:b w:val="0"/>
          <w:i/>
          <w:iCs/>
          <w:color w:val="auto"/>
          <w:spacing w:val="0"/>
          <w:sz w:val="24"/>
          <w:szCs w:val="24"/>
        </w:rPr>
        <w:t>Acinetobacter spp</w:t>
      </w:r>
      <w:r w:rsidRPr="00804556">
        <w:rPr>
          <w:rFonts w:ascii="Times New Roman" w:eastAsia="Times New Roman" w:hAnsi="Times New Roman" w:cs="Times New Roman"/>
          <w:b w:val="0"/>
          <w:color w:val="auto"/>
          <w:spacing w:val="0"/>
          <w:sz w:val="24"/>
          <w:szCs w:val="24"/>
        </w:rPr>
        <w:t xml:space="preserve">., and </w:t>
      </w:r>
      <w:r w:rsidRPr="00804556">
        <w:rPr>
          <w:rFonts w:ascii="Times New Roman" w:eastAsia="Times New Roman" w:hAnsi="Times New Roman" w:cs="Times New Roman"/>
          <w:b w:val="0"/>
          <w:i/>
          <w:iCs/>
          <w:color w:val="auto"/>
          <w:spacing w:val="0"/>
          <w:sz w:val="24"/>
          <w:szCs w:val="24"/>
        </w:rPr>
        <w:t>Aeromonas spp.</w:t>
      </w:r>
    </w:p>
    <w:p w14:paraId="0F678690" w14:textId="1CF0EB2E" w:rsidR="00804556" w:rsidRPr="00804556" w:rsidRDefault="00804556" w:rsidP="00804556">
      <w:pPr>
        <w:pStyle w:val="Heading2"/>
        <w:numPr>
          <w:ilvl w:val="0"/>
          <w:numId w:val="13"/>
        </w:numPr>
        <w:rPr>
          <w:rFonts w:eastAsia="Times New Roman"/>
        </w:rPr>
      </w:pPr>
      <w:r w:rsidRPr="00804556">
        <w:rPr>
          <w:rFonts w:ascii="Times New Roman" w:eastAsia="Times New Roman" w:hAnsi="Times New Roman" w:cs="Times New Roman"/>
          <w:b w:val="0"/>
          <w:color w:val="auto"/>
          <w:spacing w:val="0"/>
          <w:sz w:val="24"/>
          <w:szCs w:val="24"/>
        </w:rPr>
        <w:lastRenderedPageBreak/>
        <w:t xml:space="preserve">If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pseudomallei</w:t>
      </w:r>
      <w:proofErr w:type="spellEnd"/>
      <w:r w:rsidRPr="00804556">
        <w:rPr>
          <w:rFonts w:ascii="Times New Roman" w:eastAsia="Times New Roman" w:hAnsi="Times New Roman" w:cs="Times New Roman"/>
          <w:b w:val="0"/>
          <w:color w:val="auto"/>
          <w:spacing w:val="0"/>
          <w:sz w:val="24"/>
          <w:szCs w:val="24"/>
        </w:rPr>
        <w:t xml:space="preserve"> is identified or an organism is suspicious for </w:t>
      </w:r>
      <w:r w:rsidRPr="00804556">
        <w:rPr>
          <w:rFonts w:ascii="Times New Roman" w:eastAsia="Times New Roman" w:hAnsi="Times New Roman" w:cs="Times New Roman"/>
          <w:b w:val="0"/>
          <w:i/>
          <w:iCs/>
          <w:color w:val="auto"/>
          <w:spacing w:val="0"/>
          <w:sz w:val="24"/>
          <w:szCs w:val="24"/>
        </w:rPr>
        <w:t xml:space="preserve">B. </w:t>
      </w:r>
      <w:proofErr w:type="spellStart"/>
      <w:r w:rsidRPr="00804556">
        <w:rPr>
          <w:rFonts w:ascii="Times New Roman" w:eastAsia="Times New Roman" w:hAnsi="Times New Roman" w:cs="Times New Roman"/>
          <w:b w:val="0"/>
          <w:i/>
          <w:iCs/>
          <w:color w:val="auto"/>
          <w:spacing w:val="0"/>
          <w:sz w:val="24"/>
          <w:szCs w:val="24"/>
        </w:rPr>
        <w:t>pseudomallei</w:t>
      </w:r>
      <w:proofErr w:type="spellEnd"/>
      <w:r w:rsidRPr="00804556">
        <w:rPr>
          <w:rFonts w:ascii="Times New Roman" w:eastAsia="Times New Roman" w:hAnsi="Times New Roman" w:cs="Times New Roman"/>
          <w:b w:val="0"/>
          <w:color w:val="auto"/>
          <w:spacing w:val="0"/>
          <w:sz w:val="24"/>
          <w:szCs w:val="24"/>
        </w:rPr>
        <w:t xml:space="preserve">, </w:t>
      </w:r>
      <w:r w:rsidR="00A3206A" w:rsidRPr="00A3206A">
        <w:rPr>
          <w:rFonts w:ascii="Times New Roman" w:eastAsia="Times New Roman" w:hAnsi="Times New Roman" w:cs="Times New Roman"/>
          <w:b w:val="0"/>
          <w:color w:val="auto"/>
          <w:spacing w:val="0"/>
          <w:sz w:val="24"/>
          <w:szCs w:val="24"/>
        </w:rPr>
        <w:t xml:space="preserve">call the MDH-PHL on-call phone at 612-282-3723 to submit isolate and confirm identification, and initiate a public health investigation. </w:t>
      </w:r>
      <w:r w:rsidRPr="00804556">
        <w:rPr>
          <w:rFonts w:ascii="Times New Roman" w:eastAsia="Times New Roman" w:hAnsi="Times New Roman" w:cs="Times New Roman"/>
          <w:b w:val="0"/>
          <w:color w:val="auto"/>
          <w:spacing w:val="0"/>
          <w:sz w:val="24"/>
          <w:szCs w:val="24"/>
        </w:rPr>
        <w:t xml:space="preserve"> </w:t>
      </w:r>
    </w:p>
    <w:p w14:paraId="75263950" w14:textId="0683F556" w:rsidR="00056313" w:rsidRDefault="00056313" w:rsidP="00804556">
      <w:pPr>
        <w:pStyle w:val="Heading2"/>
        <w:ind w:left="360"/>
        <w:rPr>
          <w:rFonts w:eastAsia="Times New Roman"/>
        </w:rPr>
      </w:pPr>
      <w:r>
        <w:rPr>
          <w:rFonts w:eastAsia="Times New Roman"/>
        </w:rPr>
        <w:t>For More Information</w:t>
      </w:r>
    </w:p>
    <w:p w14:paraId="567198A3" w14:textId="2AED48CB" w:rsidR="00056313" w:rsidRDefault="00056313" w:rsidP="00056313">
      <w:pPr>
        <w:numPr>
          <w:ilvl w:val="0"/>
          <w:numId w:val="11"/>
        </w:numPr>
        <w:spacing w:before="100" w:beforeAutospacing="1" w:after="100" w:afterAutospacing="1"/>
        <w:rPr>
          <w:rFonts w:eastAsia="Times New Roman"/>
        </w:rPr>
      </w:pPr>
      <w:r>
        <w:rPr>
          <w:rFonts w:eastAsia="Times New Roman"/>
        </w:rPr>
        <w:t xml:space="preserve">Visit </w:t>
      </w:r>
      <w:hyperlink r:id="rId32" w:history="1">
        <w:r>
          <w:rPr>
            <w:rStyle w:val="Hyperlink"/>
            <w:rFonts w:eastAsia="Times New Roman"/>
          </w:rPr>
          <w:t>CDC-INFO (https://www.cdc.gov/cdc-info/index.html)</w:t>
        </w:r>
      </w:hyperlink>
      <w:r>
        <w:rPr>
          <w:rFonts w:eastAsia="Times New Roman"/>
        </w:rPr>
        <w:t xml:space="preserve"> or call CDC-INFO at 1-800-232-4636</w:t>
      </w:r>
    </w:p>
    <w:p w14:paraId="5EF998AE" w14:textId="77777777" w:rsidR="00056313" w:rsidRDefault="00056313" w:rsidP="00056313">
      <w:pPr>
        <w:numPr>
          <w:ilvl w:val="0"/>
          <w:numId w:val="11"/>
        </w:numPr>
        <w:spacing w:before="100" w:beforeAutospacing="1" w:after="100" w:afterAutospacing="1"/>
        <w:rPr>
          <w:rFonts w:eastAsia="Times New Roman"/>
        </w:rPr>
      </w:pPr>
      <w:r>
        <w:rPr>
          <w:rFonts w:eastAsia="Times New Roman"/>
        </w:rPr>
        <w:t>CDC 24/7 Emergency Operations Center (EOC) 770-488-7100</w:t>
      </w:r>
    </w:p>
    <w:p w14:paraId="28632188" w14:textId="77777777" w:rsidR="00056313" w:rsidRDefault="00056313" w:rsidP="00056313">
      <w:pPr>
        <w:numPr>
          <w:ilvl w:val="0"/>
          <w:numId w:val="11"/>
        </w:numPr>
        <w:spacing w:before="100" w:beforeAutospacing="1" w:after="100" w:afterAutospacing="1"/>
        <w:rPr>
          <w:rFonts w:eastAsia="Times New Roman"/>
        </w:rPr>
      </w:pPr>
      <w:r>
        <w:rPr>
          <w:rFonts w:eastAsia="Times New Roman"/>
        </w:rPr>
        <w:t xml:space="preserve">CDC Bacterial Special Pathogens Branch: email </w:t>
      </w:r>
      <w:hyperlink r:id="rId33" w:history="1">
        <w:r>
          <w:rPr>
            <w:rStyle w:val="Hyperlink"/>
            <w:rFonts w:eastAsia="Times New Roman"/>
          </w:rPr>
          <w:t>bspb@cdc.gov</w:t>
        </w:r>
      </w:hyperlink>
      <w:r>
        <w:rPr>
          <w:rFonts w:eastAsia="Times New Roman"/>
        </w:rPr>
        <w:t xml:space="preserve"> or call 404-639-1711</w:t>
      </w:r>
    </w:p>
    <w:p w14:paraId="7E0A1B78" w14:textId="1F8DDBF8" w:rsidR="00056313" w:rsidRDefault="00372091" w:rsidP="00056313">
      <w:pPr>
        <w:numPr>
          <w:ilvl w:val="0"/>
          <w:numId w:val="11"/>
        </w:numPr>
        <w:spacing w:before="100" w:beforeAutospacing="1" w:after="100" w:afterAutospacing="1"/>
        <w:rPr>
          <w:rFonts w:eastAsia="Times New Roman"/>
        </w:rPr>
      </w:pPr>
      <w:hyperlink r:id="rId34" w:history="1">
        <w:r w:rsidR="00056313">
          <w:rPr>
            <w:rStyle w:val="Hyperlink"/>
            <w:rFonts w:eastAsia="Times New Roman"/>
          </w:rPr>
          <w:t>CDC Melioidosis Signs and Symptoms (https://www.cdc.gov/melioidosis/symptoms/index.html)</w:t>
        </w:r>
      </w:hyperlink>
    </w:p>
    <w:p w14:paraId="64CCCC38" w14:textId="5B63CA9C" w:rsidR="00056313" w:rsidRDefault="00372091" w:rsidP="00056313">
      <w:pPr>
        <w:numPr>
          <w:ilvl w:val="0"/>
          <w:numId w:val="11"/>
        </w:numPr>
        <w:spacing w:before="100" w:beforeAutospacing="1" w:after="100" w:afterAutospacing="1"/>
        <w:rPr>
          <w:rFonts w:eastAsia="Times New Roman"/>
        </w:rPr>
      </w:pPr>
      <w:hyperlink r:id="rId35" w:history="1">
        <w:r w:rsidR="00056313">
          <w:rPr>
            <w:rStyle w:val="Hyperlink"/>
            <w:rFonts w:eastAsia="Times New Roman"/>
          </w:rPr>
          <w:t>CDC Sample Submission Information Zoonoses and Select Agent Laboratory (ZSAL) (https://www.cdc.gov/ncezid/dhcpp/bacterial_special/zoonoses_lab.html)</w:t>
        </w:r>
      </w:hyperlink>
    </w:p>
    <w:p w14:paraId="1FC3637A" w14:textId="77777777" w:rsidR="00056313" w:rsidRDefault="00056313" w:rsidP="00056313">
      <w:pPr>
        <w:numPr>
          <w:ilvl w:val="0"/>
          <w:numId w:val="11"/>
        </w:numPr>
        <w:spacing w:before="100" w:beforeAutospacing="1" w:after="100" w:afterAutospacing="1"/>
        <w:rPr>
          <w:rFonts w:eastAsia="Times New Roman"/>
        </w:rPr>
      </w:pPr>
      <w:r>
        <w:rPr>
          <w:rFonts w:eastAsia="Times New Roman"/>
        </w:rPr>
        <w:t>Contact MDH by phone at 651-201-5414 or 877-676-5414.</w:t>
      </w:r>
    </w:p>
    <w:p w14:paraId="4AC5CC7C" w14:textId="77777777" w:rsidR="00056313" w:rsidRDefault="00056313" w:rsidP="00056313">
      <w:pPr>
        <w:pStyle w:val="NormalWeb"/>
      </w:pPr>
      <w:r>
        <w:t xml:space="preserve">A copy of this HAN is available at: </w:t>
      </w:r>
      <w:hyperlink r:id="rId36" w:history="1">
        <w:r>
          <w:rPr>
            <w:rStyle w:val="Hyperlink"/>
          </w:rPr>
          <w:t>MDH Health Alert Network</w:t>
        </w:r>
      </w:hyperlink>
      <w:r>
        <w:t xml:space="preserve"> (</w:t>
      </w:r>
      <w:hyperlink r:id="rId37"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p w14:paraId="3BF234B9" w14:textId="2CAE28C2" w:rsidR="002C256C" w:rsidRPr="00704A3C" w:rsidRDefault="002C256C" w:rsidP="00056313">
      <w:pPr>
        <w:pStyle w:val="NormalWeb"/>
      </w:pPr>
    </w:p>
    <w:sectPr w:rsidR="002C256C" w:rsidRPr="00704A3C" w:rsidSect="00F61439">
      <w:headerReference w:type="default" r:id="rId38"/>
      <w:footerReference w:type="default" r:id="rId39"/>
      <w:footerReference w:type="first" r:id="rId4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08071A0" w:rsidR="00782710" w:rsidRPr="004A2274" w:rsidRDefault="004A2274" w:rsidP="004A2274">
    <w:pPr>
      <w:pStyle w:val="Header"/>
    </w:pPr>
    <w:r w:rsidRPr="004A2274">
      <w:t xml:space="preserve">CDC Health Advisory: </w:t>
    </w:r>
    <w:r w:rsidR="003D0F38" w:rsidRPr="003D0F38">
      <w:t>Melioidosis</w:t>
    </w:r>
    <w:r w:rsidR="003D0F38">
      <w:t xml:space="preserve"> </w:t>
    </w:r>
    <w:r w:rsidRPr="004A2274">
      <w:t>Source Implicated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3B7"/>
    <w:multiLevelType w:val="multilevel"/>
    <w:tmpl w:val="88B4C196"/>
    <w:numStyleLink w:val="Listbullets"/>
  </w:abstractNum>
  <w:abstractNum w:abstractNumId="5"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9"/>
  </w:num>
  <w:num w:numId="7">
    <w:abstractNumId w:val="12"/>
  </w:num>
  <w:num w:numId="8">
    <w:abstractNumId w:val="10"/>
  </w:num>
  <w:num w:numId="9">
    <w:abstractNumId w:val="7"/>
  </w:num>
  <w:num w:numId="10">
    <w:abstractNumId w:val="11"/>
  </w:num>
  <w:num w:numId="11">
    <w:abstractNumId w:val="5"/>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state.mn.us/diseases/melioidosis/report.html" TargetMode="External"/><Relationship Id="rId18" Type="http://schemas.openxmlformats.org/officeDocument/2006/relationships/hyperlink" Target="https://www.cdc.gov/melioidosis/bioterrorism-response-planning/healthcare-response-activities.html" TargetMode="External"/><Relationship Id="rId26" Type="http://schemas.openxmlformats.org/officeDocument/2006/relationships/hyperlink" Target="https://www.cdc.gov/melioidosis/symptoms/index.html" TargetMode="External"/><Relationship Id="rId39" Type="http://schemas.openxmlformats.org/officeDocument/2006/relationships/footer" Target="footer1.xml"/><Relationship Id="rId21" Type="http://schemas.openxmlformats.org/officeDocument/2006/relationships/hyperlink" Target="https://www.cdc.gov/melioidosis/symptoms/index.html" TargetMode="External"/><Relationship Id="rId34" Type="http://schemas.openxmlformats.org/officeDocument/2006/relationships/hyperlink" Target="https://www.cdc.gov/melioidosis/symptoms/index.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lectagents.gov/compliance/guidance/security-plan/section11f.htm" TargetMode="External"/><Relationship Id="rId20" Type="http://schemas.openxmlformats.org/officeDocument/2006/relationships/hyperlink" Target="https://wwwnc.cdc.gov/eid/article/14/7/07-1501_article" TargetMode="External"/><Relationship Id="rId29" Type="http://schemas.openxmlformats.org/officeDocument/2006/relationships/hyperlink" Target="https://wwwnc.cdc.gov/eid/article/18/12/12-0638-t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cdc.gov/eid/article/18/12/12-0638_article" TargetMode="External"/><Relationship Id="rId32" Type="http://schemas.openxmlformats.org/officeDocument/2006/relationships/hyperlink" Target="https://www.cdc.gov/cdc-info/index.html" TargetMode="External"/><Relationship Id="rId37" Type="http://schemas.openxmlformats.org/officeDocument/2006/relationships/hyperlink" Target="http://www.health.state.mn.us/han"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mergency.cdc.gov/han/2021/han00448.asp" TargetMode="External"/><Relationship Id="rId23" Type="http://schemas.openxmlformats.org/officeDocument/2006/relationships/hyperlink" Target="https://journals.plos.org/plosntds/article?id=10.1371/journal.pntd.0008659" TargetMode="External"/><Relationship Id="rId28" Type="http://schemas.openxmlformats.org/officeDocument/2006/relationships/hyperlink" Target="https://www.cdc.gov/melioidosis/symptoms/index.html" TargetMode="External"/><Relationship Id="rId36" Type="http://schemas.openxmlformats.org/officeDocument/2006/relationships/hyperlink" Target="http://www.health.state.mn.us/han" TargetMode="External"/><Relationship Id="rId10" Type="http://schemas.openxmlformats.org/officeDocument/2006/relationships/footnotes" Target="footnotes.xml"/><Relationship Id="rId19" Type="http://schemas.openxmlformats.org/officeDocument/2006/relationships/hyperlink" Target="https://www.cdc.gov/labs/pdf/SF__19_308133-A_BMBL6_00-BOOK-WEB-final-3.pdf" TargetMode="External"/><Relationship Id="rId31" Type="http://schemas.openxmlformats.org/officeDocument/2006/relationships/hyperlink" Target="https://wwwnc.cdc.gov/eid/article/14/7/07-1501_artic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cdc.gov/han/2021/han00455.asp" TargetMode="External"/><Relationship Id="rId22" Type="http://schemas.openxmlformats.org/officeDocument/2006/relationships/hyperlink" Target="https://www.cdc.gov/melioidosis/symptoms/index.html" TargetMode="External"/><Relationship Id="rId27" Type="http://schemas.openxmlformats.org/officeDocument/2006/relationships/hyperlink" Target="https://www.cdc.gov/melioidosis/symptoms/index.html" TargetMode="External"/><Relationship Id="rId30" Type="http://schemas.openxmlformats.org/officeDocument/2006/relationships/hyperlink" Target="https://www.cdc.gov/labs/pdf/SF__19_308133-A_BMBL6_00-BOOK-WEB-final-3.pdf" TargetMode="External"/><Relationship Id="rId35" Type="http://schemas.openxmlformats.org/officeDocument/2006/relationships/hyperlink" Target="https://www.cdc.gov/ncezid/dhcpp/bacterial_special/zoonoses_lab.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journals.asm.org/doi/full/10.1128/CMR.18.2.383-416.2005" TargetMode="External"/><Relationship Id="rId25" Type="http://schemas.openxmlformats.org/officeDocument/2006/relationships/hyperlink" Target="https://www.nature.com/articles/nrdp2017107" TargetMode="External"/><Relationship Id="rId33" Type="http://schemas.openxmlformats.org/officeDocument/2006/relationships/hyperlink" Target="mailto:bspb@cdc.gov"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8f01fe9-c3f2-4582-9148-d87bd0c242e7"/>
    <ds:schemaRef ds:uri="http://purl.org/dc/dcmitype/"/>
    <ds:schemaRef ds:uri="8837c207-459e-4c9e-ae67-73e2034e87a2"/>
    <ds:schemaRef ds:uri="fc253db8-c1a2-4032-adc2-d3fbd160fc7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114</TotalTime>
  <Pages>7</Pages>
  <Words>2621</Words>
  <Characters>17639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CDC Health Advisory: Melioidosis Source Implicated</vt:lpstr>
    </vt:vector>
  </TitlesOfParts>
  <Company>State of Minnesota</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Health Advisory: Melioidosis Source Implicated</dc:title>
  <dc:subject/>
  <dc:creator>MN Dept of Health</dc:creator>
  <cp:keywords/>
  <dc:description/>
  <cp:lastModifiedBy>McAdams, Toby (MDH)</cp:lastModifiedBy>
  <cp:revision>21</cp:revision>
  <cp:lastPrinted>2016-12-14T18:03:00Z</cp:lastPrinted>
  <dcterms:created xsi:type="dcterms:W3CDTF">2021-10-22T15:51:00Z</dcterms:created>
  <dcterms:modified xsi:type="dcterms:W3CDTF">2021-10-25T16:03:00Z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